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700" w:lineRule="exact"/>
        <w:jc w:val="center"/>
        <w:rPr>
          <w:rFonts w:ascii="方正小标宋简体" w:eastAsia="方正小标宋简体"/>
          <w:color w:val="000000"/>
          <w:sz w:val="44"/>
        </w:rPr>
      </w:pPr>
    </w:p>
    <w:p>
      <w:pPr>
        <w:widowControl/>
        <w:spacing w:line="700" w:lineRule="exact"/>
        <w:jc w:val="center"/>
        <w:rPr>
          <w:rFonts w:ascii="方正小标宋简体" w:eastAsia="方正小标宋简体"/>
          <w:color w:val="000000"/>
          <w:sz w:val="44"/>
        </w:rPr>
      </w:pPr>
      <w:r>
        <w:rPr>
          <w:rFonts w:hint="eastAsia" w:ascii="方正小标宋简体" w:eastAsia="方正小标宋简体"/>
          <w:color w:val="000000"/>
          <w:sz w:val="44"/>
        </w:rPr>
        <w:t xml:space="preserve"> 广东省教育强镇（乡、街道）               督导验收方案                                （修订）</w:t>
      </w:r>
    </w:p>
    <w:p>
      <w:pPr>
        <w:widowControl/>
        <w:tabs>
          <w:tab w:val="left" w:pos="6300"/>
        </w:tabs>
        <w:spacing w:line="560" w:lineRule="exact"/>
        <w:jc w:val="left"/>
        <w:rPr>
          <w:rFonts w:ascii="宋体"/>
          <w:sz w:val="32"/>
        </w:rPr>
      </w:pPr>
      <w:r>
        <w:rPr>
          <w:rFonts w:ascii="宋体"/>
          <w:sz w:val="32"/>
        </w:rPr>
        <w:tab/>
      </w:r>
    </w:p>
    <w:p>
      <w:pPr>
        <w:widowControl/>
        <w:spacing w:line="560" w:lineRule="exact"/>
        <w:jc w:val="left"/>
        <w:rPr>
          <w:rFonts w:ascii="宋体"/>
          <w:sz w:val="32"/>
        </w:rPr>
      </w:pPr>
    </w:p>
    <w:p>
      <w:pPr>
        <w:widowControl/>
        <w:spacing w:line="560" w:lineRule="exact"/>
        <w:jc w:val="left"/>
        <w:rPr>
          <w:rFonts w:ascii="宋体"/>
          <w:sz w:val="32"/>
        </w:rPr>
      </w:pPr>
    </w:p>
    <w:p>
      <w:pPr>
        <w:widowControl/>
        <w:spacing w:line="560" w:lineRule="exact"/>
        <w:jc w:val="left"/>
        <w:rPr>
          <w:rFonts w:ascii="宋体"/>
          <w:sz w:val="32"/>
        </w:rPr>
      </w:pPr>
    </w:p>
    <w:p>
      <w:pPr>
        <w:widowControl/>
        <w:spacing w:line="560" w:lineRule="exact"/>
        <w:jc w:val="left"/>
        <w:rPr>
          <w:rFonts w:ascii="宋体"/>
          <w:sz w:val="32"/>
        </w:rPr>
      </w:pPr>
    </w:p>
    <w:p>
      <w:pPr>
        <w:widowControl/>
        <w:spacing w:line="560" w:lineRule="exact"/>
        <w:jc w:val="left"/>
        <w:rPr>
          <w:rFonts w:ascii="宋体"/>
          <w:sz w:val="32"/>
        </w:rPr>
      </w:pPr>
    </w:p>
    <w:p>
      <w:pPr>
        <w:widowControl/>
        <w:spacing w:line="560" w:lineRule="exact"/>
        <w:ind w:firstLine="1620"/>
        <w:rPr>
          <w:rFonts w:ascii="宋体"/>
          <w:sz w:val="36"/>
        </w:rPr>
      </w:pPr>
      <w:r>
        <w:rPr>
          <w:rFonts w:hint="eastAsia" w:ascii="宋体"/>
          <w:sz w:val="36"/>
        </w:rPr>
        <w:t>申报单位：</w:t>
      </w:r>
      <w:r>
        <w:rPr>
          <w:rFonts w:hint="eastAsia" w:ascii="仿宋" w:hAnsi="仿宋" w:eastAsia="仿宋"/>
          <w:sz w:val="32"/>
          <w:szCs w:val="32"/>
          <w:u w:val="single"/>
        </w:rPr>
        <w:t>博罗县泰美镇人民政府</w:t>
      </w:r>
    </w:p>
    <w:p>
      <w:pPr>
        <w:widowControl/>
        <w:spacing w:line="560" w:lineRule="exact"/>
        <w:ind w:firstLine="1620"/>
        <w:rPr>
          <w:rFonts w:ascii="宋体"/>
          <w:sz w:val="36"/>
        </w:rPr>
      </w:pPr>
      <w:r>
        <w:rPr>
          <w:rFonts w:hint="eastAsia" w:ascii="宋体"/>
          <w:sz w:val="36"/>
        </w:rPr>
        <w:t>申报时间：</w:t>
      </w:r>
      <w:r>
        <w:rPr>
          <w:rFonts w:hint="eastAsia" w:ascii="宋体"/>
          <w:sz w:val="36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>202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宋体"/>
          <w:sz w:val="36"/>
        </w:rPr>
        <w:t>年</w:t>
      </w:r>
      <w:r>
        <w:rPr>
          <w:rFonts w:hint="eastAsia" w:ascii="宋体"/>
          <w:sz w:val="36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宋体"/>
          <w:sz w:val="36"/>
        </w:rPr>
        <w:t>月</w:t>
      </w:r>
      <w:r>
        <w:rPr>
          <w:rFonts w:hint="eastAsia" w:ascii="宋体"/>
          <w:sz w:val="36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宋体"/>
          <w:sz w:val="36"/>
        </w:rPr>
        <w:t>日</w:t>
      </w:r>
    </w:p>
    <w:p>
      <w:pPr>
        <w:widowControl/>
        <w:spacing w:line="560" w:lineRule="exact"/>
        <w:ind w:firstLine="1620"/>
        <w:rPr>
          <w:rFonts w:ascii="宋体"/>
          <w:sz w:val="36"/>
        </w:rPr>
      </w:pPr>
      <w:r>
        <w:rPr>
          <w:rFonts w:hint="eastAsia" w:ascii="宋体"/>
          <w:sz w:val="36"/>
        </w:rPr>
        <w:t>申    报：初评（   ）复评（</w:t>
      </w:r>
      <w:r>
        <w:rPr>
          <w:rFonts w:hint="eastAsia" w:ascii="宋体"/>
          <w:sz w:val="52"/>
          <w:szCs w:val="52"/>
        </w:rPr>
        <w:t>√</w:t>
      </w:r>
      <w:r>
        <w:rPr>
          <w:rFonts w:hint="eastAsia" w:ascii="宋体"/>
          <w:sz w:val="36"/>
        </w:rPr>
        <w:t>）</w:t>
      </w:r>
    </w:p>
    <w:p>
      <w:pPr>
        <w:widowControl/>
        <w:spacing w:line="560" w:lineRule="exact"/>
        <w:jc w:val="center"/>
        <w:rPr>
          <w:rFonts w:ascii="楷体_GB2312" w:eastAsia="楷体_GB2312"/>
          <w:sz w:val="36"/>
        </w:rPr>
      </w:pPr>
    </w:p>
    <w:p>
      <w:pPr>
        <w:widowControl/>
        <w:spacing w:line="560" w:lineRule="exact"/>
        <w:jc w:val="center"/>
        <w:rPr>
          <w:rFonts w:ascii="楷体_GB2312" w:eastAsia="楷体_GB2312"/>
          <w:sz w:val="36"/>
        </w:rPr>
      </w:pPr>
    </w:p>
    <w:p>
      <w:pPr>
        <w:widowControl/>
        <w:spacing w:line="560" w:lineRule="exact"/>
        <w:jc w:val="center"/>
        <w:rPr>
          <w:rFonts w:hAnsi="Times New Roman" w:eastAsia="楷体_GB2312"/>
          <w:sz w:val="36"/>
        </w:rPr>
      </w:pPr>
      <w:r>
        <w:rPr>
          <w:rFonts w:hAnsi="Times New Roman" w:eastAsia="楷体_GB2312"/>
          <w:sz w:val="36"/>
        </w:rPr>
        <w:t>广东省人民政府教育督导室制</w:t>
      </w:r>
    </w:p>
    <w:p>
      <w:pPr>
        <w:spacing w:line="560" w:lineRule="exact"/>
        <w:jc w:val="center"/>
        <w:rPr>
          <w:rFonts w:hAnsi="Times New Roman" w:eastAsia="黑体"/>
          <w:sz w:val="32"/>
        </w:rPr>
      </w:pPr>
      <w:r>
        <w:rPr>
          <w:rFonts w:hAnsi="Times New Roman" w:eastAsia="楷体_GB2312"/>
          <w:sz w:val="36"/>
        </w:rPr>
        <w:t>201</w:t>
      </w:r>
      <w:r>
        <w:rPr>
          <w:rFonts w:hint="eastAsia" w:hAnsi="Times New Roman" w:eastAsia="楷体_GB2312"/>
          <w:sz w:val="36"/>
        </w:rPr>
        <w:t>7</w:t>
      </w:r>
      <w:r>
        <w:rPr>
          <w:rFonts w:hAnsi="Times New Roman" w:eastAsia="楷体_GB2312"/>
          <w:sz w:val="36"/>
        </w:rPr>
        <w:t>年</w:t>
      </w:r>
      <w:r>
        <w:rPr>
          <w:rFonts w:hint="eastAsia" w:hAnsi="Times New Roman" w:eastAsia="楷体_GB2312"/>
          <w:sz w:val="36"/>
        </w:rPr>
        <w:t>9</w:t>
      </w:r>
      <w:r>
        <w:rPr>
          <w:rFonts w:hAnsi="Times New Roman" w:eastAsia="楷体_GB2312"/>
          <w:sz w:val="36"/>
        </w:rPr>
        <w:t>月</w:t>
      </w:r>
      <w:r>
        <w:rPr>
          <w:rFonts w:hint="eastAsia" w:hAnsi="Times New Roman" w:eastAsia="楷体_GB2312"/>
          <w:sz w:val="36"/>
        </w:rPr>
        <w:t>修订</w:t>
      </w:r>
    </w:p>
    <w:p>
      <w:pPr>
        <w:spacing w:line="700" w:lineRule="exact"/>
        <w:jc w:val="center"/>
        <w:rPr>
          <w:rFonts w:ascii="黑体" w:eastAsia="黑体"/>
          <w:sz w:val="44"/>
        </w:rPr>
      </w:pPr>
    </w:p>
    <w:p>
      <w:pPr>
        <w:spacing w:line="700" w:lineRule="exact"/>
        <w:jc w:val="center"/>
        <w:rPr>
          <w:rFonts w:ascii="黑体" w:eastAsia="黑体"/>
          <w:sz w:val="44"/>
        </w:rPr>
      </w:pPr>
      <w:r>
        <w:br w:type="page"/>
      </w:r>
      <w:r>
        <w:rPr>
          <w:rFonts w:hint="eastAsia" w:ascii="黑体" w:eastAsia="黑体"/>
          <w:sz w:val="44"/>
        </w:rPr>
        <w:t>说    明</w:t>
      </w:r>
    </w:p>
    <w:p>
      <w:pPr>
        <w:widowControl/>
        <w:spacing w:line="560" w:lineRule="exact"/>
        <w:jc w:val="left"/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 xml:space="preserve">     一、《广东省教育强镇（乡、街道）督导验收方案</w:t>
      </w:r>
      <w:r>
        <w:rPr>
          <w:rFonts w:hint="eastAsia" w:hAnsi="Times New Roman" w:eastAsia="仿宋_GB2312"/>
          <w:color w:val="000000"/>
          <w:sz w:val="28"/>
        </w:rPr>
        <w:t>（修订）</w:t>
      </w:r>
      <w:r>
        <w:rPr>
          <w:rFonts w:hint="eastAsia" w:ascii="仿宋_GB2312" w:eastAsia="仿宋_GB2312"/>
          <w:color w:val="000000"/>
          <w:sz w:val="28"/>
        </w:rPr>
        <w:t>》（以下简称《验收方案》），是根据国家和省有关教育政策、法规以及《广东省教育创强督导验收办法（修订）》制定的。</w:t>
      </w:r>
    </w:p>
    <w:p>
      <w:pPr>
        <w:widowControl/>
        <w:spacing w:line="560" w:lineRule="exact"/>
        <w:jc w:val="left"/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 xml:space="preserve">    二、本《验收方案》既是申报教育强镇（乡、街道）（以下简称教育强镇）验收、复评的申报书，也可以作为年终工作自评报告书。</w:t>
      </w:r>
    </w:p>
    <w:p>
      <w:pPr>
        <w:widowControl/>
        <w:spacing w:line="560" w:lineRule="exact"/>
        <w:jc w:val="left"/>
        <w:rPr>
          <w:rFonts w:ascii="仿宋_GB2312" w:eastAsia="仿宋_GB2312"/>
          <w:color w:val="000000"/>
          <w:sz w:val="28"/>
        </w:rPr>
      </w:pPr>
      <w:r>
        <w:rPr>
          <w:rFonts w:hint="eastAsia" w:ascii="仿宋_GB2312" w:eastAsia="仿宋_GB2312"/>
          <w:color w:val="000000"/>
          <w:sz w:val="28"/>
        </w:rPr>
        <w:t xml:space="preserve">    三、本《验收方案》包括六部分：（一）督导验收指标体系；（二）总评分统计表；（三）自评报告；（四）县、市审核推荐意见；（五）督导验收情况记录；（六）省人民政府教育督导室和省教育厅意见。其中自评报告独立成篇。</w:t>
      </w:r>
    </w:p>
    <w:p>
      <w:pPr>
        <w:widowControl/>
        <w:spacing w:line="560" w:lineRule="exact"/>
        <w:jc w:val="lef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四、教育强镇督导验收满分为100分。得分85分以上、且必达指标（用黑体字标示）全部达标，为通过教育强镇督导验收。得分90分以上，且必达指标全部达标，为通过教育强镇复评验收。</w:t>
      </w:r>
    </w:p>
    <w:p>
      <w:pPr>
        <w:widowControl/>
        <w:spacing w:line="560" w:lineRule="exact"/>
        <w:jc w:val="lef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五、督导验收指标体系评分具体操作请看《教育强镇督导验收指标评分操作说明》。</w:t>
      </w:r>
    </w:p>
    <w:p>
      <w:pPr>
        <w:spacing w:line="560" w:lineRule="exact"/>
        <w:ind w:firstLine="555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六、本《验收方案》和《教育强镇督导验收指标评分操作说明》中的“高于”、“大于”、“以上”均含本数</w:t>
      </w:r>
      <w:r>
        <w:rPr>
          <w:rFonts w:hint="eastAsia" w:ascii="仿宋_GB2312" w:hAnsi="Times New Roman" w:eastAsia="仿宋_GB2312"/>
          <w:sz w:val="28"/>
        </w:rPr>
        <w:t>，“以下”不包含本数</w:t>
      </w:r>
      <w:r>
        <w:rPr>
          <w:rFonts w:hint="eastAsia" w:ascii="仿宋_GB2312" w:eastAsia="仿宋_GB2312"/>
          <w:sz w:val="28"/>
        </w:rPr>
        <w:t>。“逐年提高”是指近3年连续每年比上年有所提高。《督导验收指标体系》中的三级指标由若干个要素构成，两个要素以上的，一般用“；”隔开。</w:t>
      </w:r>
    </w:p>
    <w:p>
      <w:pPr>
        <w:snapToGrid w:val="0"/>
        <w:spacing w:after="120"/>
        <w:jc w:val="center"/>
        <w:rPr>
          <w:rFonts w:ascii="黑体" w:eastAsia="黑体"/>
          <w:sz w:val="36"/>
        </w:rPr>
      </w:pPr>
    </w:p>
    <w:p>
      <w:pPr>
        <w:snapToGrid w:val="0"/>
        <w:spacing w:after="120"/>
        <w:jc w:val="center"/>
        <w:rPr>
          <w:rFonts w:ascii="黑体" w:eastAsia="黑体"/>
          <w:sz w:val="36"/>
        </w:rPr>
      </w:pPr>
    </w:p>
    <w:p>
      <w:pPr>
        <w:snapToGrid w:val="0"/>
        <w:spacing w:after="120"/>
        <w:jc w:val="center"/>
        <w:rPr>
          <w:rFonts w:ascii="黑体" w:eastAsia="黑体"/>
          <w:sz w:val="36"/>
        </w:rPr>
      </w:pPr>
    </w:p>
    <w:p>
      <w:pPr>
        <w:snapToGrid w:val="0"/>
        <w:spacing w:after="120"/>
        <w:jc w:val="center"/>
        <w:rPr>
          <w:rFonts w:hAnsi="Times New Roman"/>
          <w:sz w:val="36"/>
        </w:rPr>
      </w:pPr>
      <w:r>
        <w:rPr>
          <w:rFonts w:hint="eastAsia" w:ascii="黑体" w:eastAsia="黑体"/>
          <w:sz w:val="36"/>
        </w:rPr>
        <w:t>（一）督导验收指标体系</w:t>
      </w:r>
    </w:p>
    <w:tbl>
      <w:tblPr>
        <w:tblStyle w:val="23"/>
        <w:tblW w:w="9557" w:type="dxa"/>
        <w:tblInd w:w="-26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646"/>
        <w:gridCol w:w="6521"/>
        <w:gridCol w:w="614"/>
        <w:gridCol w:w="614"/>
        <w:gridCol w:w="5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tblHeader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一级指标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二级指标</w:t>
            </w: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三级指标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分值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60" w:lineRule="exact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自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评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分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260" w:lineRule="exact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他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评</w:t>
            </w:r>
          </w:p>
          <w:p>
            <w:pPr>
              <w:widowControl/>
              <w:snapToGrid w:val="0"/>
              <w:spacing w:line="260" w:lineRule="exact"/>
              <w:jc w:val="center"/>
              <w:rPr>
                <w:rFonts w:hAnsi="Times New Roman"/>
                <w:b/>
                <w:sz w:val="25"/>
              </w:rPr>
            </w:pPr>
            <w:r>
              <w:rPr>
                <w:b/>
                <w:sz w:val="25"/>
              </w:rPr>
              <w:t>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8" w:hRule="atLeast"/>
        </w:trPr>
        <w:tc>
          <w:tcPr>
            <w:tcW w:w="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一、政府责任</w:t>
            </w: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一、政府责任</w:t>
            </w: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t>(</w:t>
            </w:r>
            <w:r>
              <w:rPr>
                <w:sz w:val="24"/>
              </w:rPr>
              <w:t>一</w:t>
            </w:r>
            <w:r>
              <w:rPr>
                <w:rFonts w:hAnsi="Times New Roman"/>
                <w:sz w:val="24"/>
              </w:rPr>
              <w:t>)</w:t>
            </w:r>
            <w:r>
              <w:rPr>
                <w:sz w:val="24"/>
              </w:rPr>
              <w:t>规划与机制</w:t>
            </w:r>
            <w:r>
              <w:rPr>
                <w:rFonts w:ascii="宋体"/>
                <w:sz w:val="24"/>
              </w:rPr>
              <w:t>（</w:t>
            </w:r>
            <w:r>
              <w:rPr>
                <w:rFonts w:hint="eastAsia" w:ascii="宋体"/>
                <w:sz w:val="24"/>
              </w:rPr>
              <w:t>18分）</w:t>
            </w: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1.1.1</w:t>
            </w:r>
            <w:r>
              <w:rPr>
                <w:color w:val="000000"/>
                <w:sz w:val="24"/>
              </w:rPr>
              <w:t>制定教育</w:t>
            </w:r>
            <w:r>
              <w:rPr>
                <w:rFonts w:hAnsi="Times New Roman"/>
                <w:color w:val="000000"/>
                <w:sz w:val="24"/>
              </w:rPr>
              <w:t>“</w:t>
            </w:r>
            <w:r>
              <w:rPr>
                <w:color w:val="000000"/>
                <w:sz w:val="24"/>
              </w:rPr>
              <w:t>创强</w:t>
            </w:r>
            <w:r>
              <w:rPr>
                <w:rFonts w:hAnsi="Times New Roman"/>
                <w:color w:val="000000"/>
                <w:sz w:val="24"/>
              </w:rPr>
              <w:t>”</w:t>
            </w:r>
            <w:r>
              <w:rPr>
                <w:color w:val="000000"/>
                <w:sz w:val="24"/>
              </w:rPr>
              <w:t>实施方案，积极推进教育强镇创建工作</w:t>
            </w:r>
            <w:r>
              <w:rPr>
                <w:rFonts w:hint="eastAsia"/>
                <w:color w:val="000000"/>
                <w:sz w:val="24"/>
              </w:rPr>
              <w:t>；</w:t>
            </w:r>
            <w:r>
              <w:rPr>
                <w:color w:val="000000"/>
                <w:sz w:val="24"/>
              </w:rPr>
              <w:t>建立健全镇党委政府教育领导体制</w:t>
            </w:r>
            <w:r>
              <w:rPr>
                <w:rFonts w:hint="eastAsia"/>
                <w:color w:val="000000"/>
                <w:sz w:val="24"/>
              </w:rPr>
              <w:t>，</w:t>
            </w:r>
            <w:r>
              <w:rPr>
                <w:color w:val="000000"/>
                <w:sz w:val="24"/>
              </w:rPr>
              <w:t>镇党委、政府把教育工作作为镇、村及有关部门领导任期目标责任制和政绩考核的重要内容之一</w:t>
            </w:r>
            <w:r>
              <w:rPr>
                <w:rFonts w:hint="eastAsia"/>
                <w:color w:val="000000"/>
                <w:sz w:val="24"/>
              </w:rPr>
              <w:t>，</w:t>
            </w:r>
            <w:r>
              <w:rPr>
                <w:sz w:val="24"/>
              </w:rPr>
              <w:t>解决教育改革与发展中的困难和问题</w:t>
            </w:r>
            <w:r>
              <w:rPr>
                <w:rFonts w:hint="eastAsia" w:hAnsi="Times New Roman"/>
                <w:sz w:val="24"/>
              </w:rPr>
              <w:t>；</w:t>
            </w:r>
            <w:r>
              <w:rPr>
                <w:color w:val="000000"/>
                <w:sz w:val="24"/>
              </w:rPr>
              <w:t>政府定期向同级人民代表大会报告教育工作情况</w:t>
            </w:r>
            <w:r>
              <w:rPr>
                <w:rFonts w:hint="eastAsia"/>
                <w:color w:val="000000"/>
                <w:sz w:val="24"/>
              </w:rPr>
              <w:t>；</w:t>
            </w:r>
            <w:r>
              <w:rPr>
                <w:color w:val="000000"/>
                <w:sz w:val="24"/>
              </w:rPr>
              <w:t>积极营造尊师重教的良好社会氛围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rPr>
                <w:rFonts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1.1.</w:t>
            </w:r>
            <w:r>
              <w:rPr>
                <w:rFonts w:hint="eastAsia" w:hAnsi="Times New Roman"/>
                <w:color w:val="000000"/>
                <w:sz w:val="24"/>
              </w:rPr>
              <w:t>2多渠道筹措教育创强经费，</w:t>
            </w:r>
            <w:r>
              <w:rPr>
                <w:color w:val="000000"/>
                <w:sz w:val="24"/>
              </w:rPr>
              <w:t>积极发动乡贤和社会各方面力量捐资助学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rPr>
                <w:rFonts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1.1.3</w:t>
            </w:r>
            <w:r>
              <w:rPr>
                <w:color w:val="000000"/>
                <w:sz w:val="24"/>
              </w:rPr>
              <w:t>镇党委、政府积极解决镇内中小学新增建设用地和学校土地使用证等问题</w:t>
            </w:r>
            <w:r>
              <w:rPr>
                <w:rFonts w:hint="eastAsia"/>
                <w:color w:val="000000"/>
                <w:sz w:val="24"/>
              </w:rPr>
              <w:t>，有土地使用证的学校比例逐年提高</w:t>
            </w:r>
            <w:r>
              <w:rPr>
                <w:color w:val="000000"/>
                <w:sz w:val="24"/>
              </w:rPr>
              <w:t>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FF0000"/>
                <w:sz w:val="24"/>
              </w:rPr>
            </w:pPr>
            <w:r>
              <w:rPr>
                <w:rFonts w:hAnsi="Times New Roman"/>
                <w:color w:val="auto"/>
                <w:sz w:val="24"/>
              </w:rPr>
              <w:t>1</w:t>
            </w:r>
            <w:r>
              <w:rPr>
                <w:rFonts w:hint="eastAsia" w:hAnsi="Times New Roman"/>
                <w:color w:val="auto"/>
                <w:sz w:val="24"/>
              </w:rPr>
              <w:t>.</w:t>
            </w:r>
            <w:r>
              <w:rPr>
                <w:rFonts w:hAnsi="Times New Roman"/>
                <w:color w:val="auto"/>
                <w:sz w:val="24"/>
              </w:rPr>
              <w:t>5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1.1.4依法履行职责，组织和督促适龄儿童、少年入学；帮助解决适龄儿童、少年由于经济、生活、行动等带来的入学困难。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rPr>
                <w:rFonts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1.1.5</w:t>
            </w:r>
            <w:r>
              <w:rPr>
                <w:color w:val="000000"/>
                <w:sz w:val="24"/>
              </w:rPr>
              <w:t>积极采取措施防止适龄儿童、少年辍学；辖区内企事业单位无违法招用应当接受义务教育的适龄儿童、少年的现象。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1.1.</w:t>
            </w:r>
            <w:r>
              <w:rPr>
                <w:rFonts w:hint="eastAsia" w:hAnsi="Times New Roman"/>
                <w:color w:val="000000"/>
                <w:sz w:val="24"/>
              </w:rPr>
              <w:t>6</w:t>
            </w:r>
            <w:r>
              <w:rPr>
                <w:rFonts w:hint="eastAsia" w:ascii="黑体" w:hAnsi="Times New Roman" w:eastAsia="黑体"/>
                <w:color w:val="000000"/>
                <w:sz w:val="24"/>
              </w:rPr>
              <w:t>扎实推进依法治校，全镇80%以上的中小学校实现“一校一章程”</w:t>
            </w:r>
            <w:r>
              <w:rPr>
                <w:rFonts w:hint="eastAsia" w:hAnsi="Times New Roman"/>
                <w:b/>
                <w:color w:val="000000"/>
                <w:sz w:val="24"/>
              </w:rPr>
              <w:t>；</w:t>
            </w:r>
            <w:r>
              <w:rPr>
                <w:color w:val="000000"/>
                <w:sz w:val="24"/>
              </w:rPr>
              <w:t>依法维护和整治学校周边秩序，保护学生、教师、学校的合法权益，为学校提供安全保障和良好周边治安环境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rPr>
                <w:rFonts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t>(</w:t>
            </w:r>
            <w:r>
              <w:rPr>
                <w:sz w:val="24"/>
              </w:rPr>
              <w:t>二</w:t>
            </w:r>
            <w:r>
              <w:rPr>
                <w:rFonts w:hAnsi="Times New Roman"/>
                <w:sz w:val="24"/>
              </w:rPr>
              <w:t>)</w:t>
            </w:r>
            <w:r>
              <w:rPr>
                <w:sz w:val="24"/>
              </w:rPr>
              <w:t>改善办学条件（</w:t>
            </w:r>
            <w:r>
              <w:rPr>
                <w:rFonts w:hint="eastAsia"/>
                <w:sz w:val="24"/>
              </w:rPr>
              <w:t>38</w:t>
            </w:r>
            <w:r>
              <w:rPr>
                <w:sz w:val="24"/>
              </w:rPr>
              <w:t>分）</w:t>
            </w: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hAnsi="Times New Roman" w:eastAsia="黑体"/>
                <w:color w:val="000000"/>
                <w:sz w:val="24"/>
              </w:rPr>
            </w:pPr>
            <w:r>
              <w:rPr>
                <w:rFonts w:hAnsi="Times New Roman" w:eastAsia="黑体"/>
                <w:color w:val="000000"/>
                <w:sz w:val="24"/>
              </w:rPr>
              <w:t>1.2.1中小学布局规划科学合理，布局调整</w:t>
            </w:r>
            <w:r>
              <w:rPr>
                <w:rFonts w:hint="eastAsia" w:hAnsi="Times New Roman" w:eastAsia="黑体"/>
                <w:color w:val="000000"/>
                <w:sz w:val="24"/>
              </w:rPr>
              <w:t>按时</w:t>
            </w:r>
            <w:r>
              <w:rPr>
                <w:rFonts w:hAnsi="Times New Roman" w:eastAsia="黑体"/>
                <w:color w:val="000000"/>
                <w:sz w:val="24"/>
              </w:rPr>
              <w:t>完成；</w:t>
            </w:r>
            <w:r>
              <w:rPr>
                <w:rFonts w:hint="eastAsia" w:ascii="黑体" w:hAnsi="Times New Roman" w:eastAsia="黑体"/>
                <w:sz w:val="24"/>
              </w:rPr>
              <w:t>义务教育阶段普通中小学校中公办标准化学校覆盖率100%</w:t>
            </w:r>
            <w:r>
              <w:rPr>
                <w:rFonts w:hint="eastAsia" w:hAnsi="Times New Roman" w:eastAsia="黑体"/>
                <w:color w:val="000000"/>
                <w:sz w:val="24"/>
              </w:rPr>
              <w:t>，</w:t>
            </w:r>
            <w:r>
              <w:rPr>
                <w:rFonts w:hint="eastAsia" w:ascii="黑体" w:eastAsia="黑体"/>
                <w:color w:val="000000"/>
                <w:sz w:val="24"/>
              </w:rPr>
              <w:t>民办标准化学校覆盖率60%以上</w:t>
            </w:r>
            <w:r>
              <w:rPr>
                <w:rFonts w:hint="eastAsia" w:ascii="黑体" w:hAnsi="Times New Roman" w:eastAsia="黑体"/>
                <w:sz w:val="24"/>
              </w:rPr>
              <w:t>（教育强镇复评时达70%。如果没有达到70%以上，政府必须书面承诺2018年达到70%）；</w:t>
            </w:r>
            <w:r>
              <w:rPr>
                <w:rFonts w:hint="eastAsia" w:hAnsi="Times New Roman" w:eastAsia="黑体"/>
                <w:color w:val="000000"/>
                <w:sz w:val="24"/>
              </w:rPr>
              <w:t>平均班额小学不超过45人、初中不超过</w:t>
            </w:r>
            <w:r>
              <w:rPr>
                <w:rFonts w:hAnsi="Times New Roman" w:eastAsia="黑体"/>
                <w:color w:val="000000"/>
                <w:sz w:val="24"/>
              </w:rPr>
              <w:t>5</w:t>
            </w:r>
            <w:r>
              <w:rPr>
                <w:rFonts w:hint="eastAsia" w:hAnsi="Times New Roman" w:eastAsia="黑体"/>
                <w:color w:val="000000"/>
                <w:sz w:val="24"/>
              </w:rPr>
              <w:t>0</w:t>
            </w:r>
            <w:r>
              <w:rPr>
                <w:rFonts w:hAnsi="Times New Roman" w:eastAsia="黑体"/>
                <w:color w:val="000000"/>
                <w:sz w:val="24"/>
              </w:rPr>
              <w:t>人</w:t>
            </w:r>
            <w:r>
              <w:rPr>
                <w:rFonts w:hint="eastAsia" w:hAnsi="Times New Roman" w:eastAsia="黑体"/>
                <w:color w:val="000000"/>
                <w:sz w:val="24"/>
              </w:rPr>
              <w:t>，且起始年级小学</w:t>
            </w:r>
            <w:r>
              <w:rPr>
                <w:rFonts w:hAnsi="Times New Roman" w:eastAsia="黑体"/>
                <w:color w:val="000000"/>
                <w:sz w:val="24"/>
              </w:rPr>
              <w:t>无</w:t>
            </w:r>
            <w:r>
              <w:rPr>
                <w:rFonts w:hint="eastAsia" w:hAnsi="Times New Roman" w:eastAsia="黑体"/>
                <w:color w:val="000000"/>
                <w:sz w:val="24"/>
              </w:rPr>
              <w:t>51人以上、初中无</w:t>
            </w:r>
            <w:r>
              <w:rPr>
                <w:rFonts w:hAnsi="Times New Roman" w:eastAsia="黑体"/>
                <w:color w:val="000000"/>
                <w:sz w:val="24"/>
              </w:rPr>
              <w:t>56人以上大班额现象。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10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10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rPr>
                <w:rFonts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1.2.2重视学校体育卫生艺术教育,中小学校体育卫生基本条件和艺术教育基本条件达标率均达到100%。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rPr>
                <w:rFonts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6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</w:rPr>
              <w:t>1.2.3</w:t>
            </w:r>
            <w:r>
              <w:rPr>
                <w:rFonts w:hint="eastAsia" w:ascii="黑体" w:eastAsia="黑体"/>
                <w:color w:val="000000"/>
                <w:sz w:val="24"/>
              </w:rPr>
              <w:t>中小学常规教学仪器设备达标率为</w:t>
            </w:r>
            <w:r>
              <w:rPr>
                <w:rFonts w:hint="eastAsia" w:ascii="黑体" w:hAnsi="Times New Roman" w:eastAsia="黑体"/>
                <w:color w:val="000000"/>
                <w:sz w:val="24"/>
              </w:rPr>
              <w:t>100%</w:t>
            </w:r>
            <w:r>
              <w:rPr>
                <w:rFonts w:hint="eastAsia" w:ascii="黑体" w:eastAsia="黑体"/>
                <w:color w:val="000000"/>
                <w:sz w:val="24"/>
              </w:rPr>
              <w:t>；所有学校的实验开出率均达100%；中小学校按照规定每年补充符合师生实际需要的图书，并提高师生阅读率，新增图书比例不少于藏书标准的</w:t>
            </w:r>
            <w:r>
              <w:rPr>
                <w:rFonts w:hint="eastAsia" w:ascii="黑体" w:hAnsi="Times New Roman" w:eastAsia="黑体"/>
                <w:color w:val="000000"/>
                <w:sz w:val="24"/>
              </w:rPr>
              <w:t>1%</w:t>
            </w:r>
            <w:r>
              <w:rPr>
                <w:rFonts w:hint="eastAsia" w:ascii="黑体" w:eastAsia="黑体"/>
                <w:color w:val="000000"/>
                <w:sz w:val="24"/>
              </w:rPr>
              <w:t>；生均图书册数小学达到</w:t>
            </w:r>
            <w:r>
              <w:rPr>
                <w:rFonts w:hint="eastAsia" w:ascii="黑体" w:hAnsi="Times New Roman" w:eastAsia="黑体"/>
                <w:color w:val="000000"/>
                <w:sz w:val="24"/>
              </w:rPr>
              <w:t>20</w:t>
            </w:r>
            <w:r>
              <w:rPr>
                <w:rFonts w:hint="eastAsia" w:ascii="黑体" w:eastAsia="黑体"/>
                <w:color w:val="000000"/>
                <w:sz w:val="24"/>
              </w:rPr>
              <w:t>册以上，初中</w:t>
            </w:r>
            <w:r>
              <w:rPr>
                <w:rFonts w:hint="eastAsia" w:ascii="黑体" w:hAnsi="Times New Roman" w:eastAsia="黑体"/>
                <w:color w:val="000000"/>
                <w:sz w:val="24"/>
              </w:rPr>
              <w:t>25</w:t>
            </w:r>
            <w:r>
              <w:rPr>
                <w:rFonts w:hint="eastAsia" w:ascii="黑体" w:eastAsia="黑体"/>
                <w:color w:val="000000"/>
                <w:sz w:val="24"/>
              </w:rPr>
              <w:t>册以上，高中40册以上。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6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6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rPr>
                <w:rFonts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t>(</w:t>
            </w:r>
            <w:r>
              <w:rPr>
                <w:sz w:val="24"/>
              </w:rPr>
              <w:t>二</w:t>
            </w:r>
            <w:r>
              <w:rPr>
                <w:rFonts w:hAnsi="Times New Roman"/>
                <w:sz w:val="24"/>
              </w:rPr>
              <w:t>)</w:t>
            </w:r>
            <w:r>
              <w:rPr>
                <w:sz w:val="24"/>
              </w:rPr>
              <w:t>改善办学条件（</w:t>
            </w:r>
            <w:r>
              <w:rPr>
                <w:rFonts w:hint="eastAsia"/>
                <w:sz w:val="24"/>
              </w:rPr>
              <w:t>38</w:t>
            </w:r>
            <w:r>
              <w:rPr>
                <w:sz w:val="24"/>
              </w:rPr>
              <w:t>分）</w:t>
            </w: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</w:rPr>
              <w:t>1.2.4</w:t>
            </w:r>
            <w:r>
              <w:rPr>
                <w:rFonts w:hint="eastAsia" w:ascii="黑体" w:eastAsia="黑体"/>
                <w:color w:val="000000"/>
                <w:sz w:val="24"/>
              </w:rPr>
              <w:t>推进数字化校园建设，全部学校接通互联网；普通中小学校网络多媒体教室占总课室数不低于60%；100%教师配备专用教学用终端，</w:t>
            </w:r>
            <w:r>
              <w:rPr>
                <w:rFonts w:hint="eastAsia" w:ascii="黑体" w:eastAsia="黑体"/>
                <w:sz w:val="24"/>
              </w:rPr>
              <w:t>100名学生拥有学习终端不少于20台，100名学生以下的非完全小学、教学点按最大班额配备学习终端</w:t>
            </w:r>
            <w:r>
              <w:rPr>
                <w:rFonts w:hint="eastAsia" w:ascii="黑体" w:eastAsia="黑体"/>
                <w:color w:val="000000"/>
                <w:sz w:val="24"/>
              </w:rPr>
              <w:t>；全部学校均将教师、学生、办学条件等数据及时录入系统，并同时更新到省市各级教育信息管理平台</w:t>
            </w:r>
            <w:r>
              <w:rPr>
                <w:rFonts w:hint="eastAsia" w:ascii="黑体" w:hAnsi="Times New Roman" w:eastAsia="黑体"/>
                <w:color w:val="000000"/>
                <w:sz w:val="24"/>
              </w:rPr>
              <w:t>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6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6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1.</w:t>
            </w:r>
            <w:r>
              <w:rPr>
                <w:rFonts w:hAnsi="Times New Roman" w:eastAsia="黑体"/>
                <w:color w:val="000000"/>
                <w:sz w:val="24"/>
              </w:rPr>
              <w:t>2.5建成 1 所以上公办规范化乡镇中心幼儿园</w:t>
            </w:r>
            <w:r>
              <w:rPr>
                <w:rFonts w:hint="eastAsia" w:hAnsi="Times New Roman" w:eastAsia="黑体"/>
                <w:color w:val="000000"/>
                <w:sz w:val="24"/>
              </w:rPr>
              <w:t>，幼儿园有消防合格证明文件和收费备案表</w:t>
            </w:r>
            <w:r>
              <w:rPr>
                <w:rFonts w:hAnsi="Times New Roman" w:eastAsia="黑体"/>
                <w:color w:val="000000"/>
                <w:sz w:val="24"/>
              </w:rPr>
              <w:t>；</w:t>
            </w:r>
            <w:r>
              <w:rPr>
                <w:rFonts w:hint="eastAsia" w:ascii="宋体"/>
                <w:color w:val="000000"/>
                <w:sz w:val="24"/>
              </w:rPr>
              <w:t>常住人口4000人以上的行政村有相对独立的幼儿园；</w:t>
            </w:r>
            <w:r>
              <w:rPr>
                <w:rFonts w:hint="eastAsia"/>
                <w:color w:val="000000"/>
                <w:sz w:val="24"/>
              </w:rPr>
              <w:t>民办园基本达到设置标准要求，许可证办证率100%；规范化幼儿园比例达50%以上且逐年提高。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  <w:r>
              <w:rPr>
                <w:rFonts w:hint="eastAsia" w:hAnsi="Times New Roman"/>
                <w:sz w:val="24"/>
              </w:rPr>
              <w:t>5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  <w:r>
              <w:rPr>
                <w:rFonts w:hint="eastAsia" w:hAnsi="Times New Roman"/>
                <w:sz w:val="24"/>
              </w:rPr>
              <w:t>5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 w:eastAsia="黑体"/>
                <w:color w:val="000000"/>
                <w:sz w:val="24"/>
              </w:rPr>
            </w:pPr>
            <w:r>
              <w:rPr>
                <w:rFonts w:hAnsi="Times New Roman" w:eastAsia="黑体"/>
                <w:color w:val="000000"/>
                <w:sz w:val="24"/>
              </w:rPr>
              <w:t>1.2.6.常住人口4万人以上的镇设立特殊教育随班就读资源课室。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4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4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1.2.7</w:t>
            </w:r>
            <w:r>
              <w:rPr>
                <w:color w:val="000000"/>
                <w:sz w:val="24"/>
              </w:rPr>
              <w:t>设立成人文化技术学校或社区教育中心；成人教育培训面逐年提高。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1.2.8完善中小学校后勤服务保障体系。学校配置足够的符合安全、卫生、健康标准的食堂、浴室、学生宿舍、厕所等基本生活设施设备。配备安全饮用水供应设施。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t>(</w:t>
            </w:r>
            <w:r>
              <w:rPr>
                <w:sz w:val="24"/>
              </w:rPr>
              <w:t>三</w:t>
            </w:r>
            <w:r>
              <w:rPr>
                <w:rFonts w:hAnsi="Times New Roman"/>
                <w:sz w:val="24"/>
              </w:rPr>
              <w:t>)</w:t>
            </w:r>
            <w:r>
              <w:rPr>
                <w:sz w:val="24"/>
              </w:rPr>
              <w:t>师资队伍建设（</w:t>
            </w:r>
            <w:r>
              <w:rPr>
                <w:rFonts w:hAnsi="Times New Roman"/>
                <w:sz w:val="24"/>
              </w:rPr>
              <w:t>1</w:t>
            </w:r>
            <w:r>
              <w:rPr>
                <w:rFonts w:hint="eastAsia" w:hAnsi="Times New Roman"/>
                <w:sz w:val="24"/>
              </w:rPr>
              <w:t>3</w:t>
            </w:r>
            <w:r>
              <w:rPr>
                <w:sz w:val="24"/>
              </w:rPr>
              <w:t>分）</w:t>
            </w: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ascii="黑体" w:hAnsi="黑体" w:eastAsia="黑体"/>
                <w:color w:val="000000"/>
                <w:sz w:val="24"/>
              </w:rPr>
              <w:t>1.3.1按照省标准配齐配足幼儿园、中小学</w:t>
            </w:r>
            <w:r>
              <w:rPr>
                <w:rFonts w:hint="eastAsia" w:ascii="黑体" w:hAnsi="黑体" w:eastAsia="黑体"/>
                <w:color w:val="000000"/>
                <w:sz w:val="24"/>
              </w:rPr>
              <w:t>教师</w:t>
            </w:r>
            <w:r>
              <w:rPr>
                <w:rFonts w:ascii="黑体" w:hAnsi="黑体" w:eastAsia="黑体"/>
                <w:color w:val="000000"/>
                <w:sz w:val="24"/>
              </w:rPr>
              <w:t>；</w:t>
            </w:r>
            <w:r>
              <w:rPr>
                <w:rFonts w:hint="eastAsia" w:ascii="黑体" w:hAnsi="黑体" w:eastAsia="黑体"/>
                <w:color w:val="000000"/>
                <w:sz w:val="24"/>
              </w:rPr>
              <w:t>6个班以上的非完全小学</w:t>
            </w:r>
            <w:r>
              <w:rPr>
                <w:rFonts w:ascii="黑体" w:hAnsi="黑体" w:eastAsia="黑体"/>
                <w:color w:val="000000"/>
                <w:sz w:val="24"/>
              </w:rPr>
              <w:t>、教学点</w:t>
            </w:r>
            <w:r>
              <w:rPr>
                <w:rFonts w:hint="eastAsia" w:ascii="黑体" w:hAnsi="黑体" w:eastAsia="黑体"/>
                <w:color w:val="000000"/>
                <w:sz w:val="24"/>
              </w:rPr>
              <w:t>按照小学编制标准配备教师，6个班以下</w:t>
            </w:r>
            <w:r>
              <w:rPr>
                <w:rFonts w:ascii="黑体" w:hAnsi="黑体" w:eastAsia="黑体"/>
                <w:color w:val="000000"/>
                <w:sz w:val="24"/>
              </w:rPr>
              <w:t>的</w:t>
            </w:r>
            <w:r>
              <w:rPr>
                <w:rFonts w:hint="eastAsia" w:ascii="黑体" w:hAnsi="黑体" w:eastAsia="黑体"/>
                <w:color w:val="000000"/>
                <w:sz w:val="24"/>
              </w:rPr>
              <w:t>非完全小学</w:t>
            </w:r>
            <w:r>
              <w:rPr>
                <w:rFonts w:ascii="黑体" w:hAnsi="黑体" w:eastAsia="黑体"/>
                <w:color w:val="000000"/>
                <w:sz w:val="24"/>
              </w:rPr>
              <w:t>、教学点班均教师不</w:t>
            </w:r>
            <w:r>
              <w:rPr>
                <w:rFonts w:hint="eastAsia" w:ascii="黑体" w:hAnsi="黑体" w:eastAsia="黑体"/>
                <w:color w:val="000000"/>
                <w:sz w:val="24"/>
              </w:rPr>
              <w:t>少</w:t>
            </w:r>
            <w:r>
              <w:rPr>
                <w:rFonts w:ascii="黑体" w:hAnsi="黑体" w:eastAsia="黑体"/>
                <w:color w:val="000000"/>
                <w:sz w:val="24"/>
              </w:rPr>
              <w:t>于1人；无代课教师。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5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5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snapToGrid w:val="0"/>
              <w:jc w:val="left"/>
              <w:rPr>
                <w:rFonts w:ascii="黑体" w:hAnsi="Times New Roman" w:eastAsia="黑体"/>
                <w:sz w:val="24"/>
              </w:rPr>
            </w:pPr>
            <w:r>
              <w:rPr>
                <w:rFonts w:hint="eastAsia" w:ascii="宋体"/>
                <w:sz w:val="24"/>
              </w:rPr>
              <w:t>1.3.2义务教育阶段教师学科结构与中小学课程结构基本匹配，体育、音乐、美术、信息技术以及小学英语、科学等学科教师满足课程开设要求；学前教育教师资格证持证率达到80%，且逐年提高比例。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t>8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hAnsi="Times New Roman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 w:hAnsi="Times New Roman"/>
                <w:color w:val="auto"/>
                <w:sz w:val="24"/>
                <w:lang w:val="en-US" w:eastAsia="zh-CN"/>
              </w:rPr>
              <w:t>7.7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both"/>
              <w:rPr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二、教育管理</w:t>
            </w:r>
            <w:r>
              <w:rPr>
                <w:rFonts w:hint="eastAsia"/>
                <w:sz w:val="24"/>
              </w:rPr>
              <w:t>与素质教育</w:t>
            </w: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二、教育管理</w:t>
            </w:r>
            <w:r>
              <w:rPr>
                <w:rFonts w:hint="eastAsia"/>
                <w:sz w:val="24"/>
              </w:rPr>
              <w:t>与素质教育</w:t>
            </w: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</w:p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  <w:r>
              <w:rPr>
                <w:rFonts w:hAnsi="Times New Roman"/>
                <w:sz w:val="24"/>
              </w:rPr>
              <w:t>(</w:t>
            </w:r>
            <w:r>
              <w:rPr>
                <w:sz w:val="24"/>
              </w:rPr>
              <w:t>四</w:t>
            </w:r>
            <w:r>
              <w:rPr>
                <w:rFonts w:hAnsi="Times New Roman"/>
                <w:sz w:val="24"/>
              </w:rPr>
              <w:t>)</w:t>
            </w:r>
            <w:r>
              <w:rPr>
                <w:sz w:val="24"/>
              </w:rPr>
              <w:t>规范办学行为</w:t>
            </w:r>
            <w:r>
              <w:rPr>
                <w:rFonts w:hint="eastAsia"/>
                <w:sz w:val="24"/>
              </w:rPr>
              <w:t>与素质教育</w:t>
            </w:r>
            <w:r>
              <w:rPr>
                <w:sz w:val="24"/>
              </w:rPr>
              <w:t>（</w:t>
            </w:r>
            <w:r>
              <w:rPr>
                <w:rFonts w:hint="eastAsia" w:hAnsi="Times New Roman"/>
                <w:sz w:val="24"/>
              </w:rPr>
              <w:t>22</w:t>
            </w:r>
            <w:r>
              <w:rPr>
                <w:sz w:val="24"/>
              </w:rPr>
              <w:t>分）</w:t>
            </w:r>
          </w:p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sz w:val="24"/>
              </w:rPr>
            </w:pPr>
            <w:r>
              <w:rPr>
                <w:rFonts w:hAnsi="Times New Roman"/>
                <w:sz w:val="24"/>
              </w:rPr>
              <w:t>(</w:t>
            </w:r>
            <w:r>
              <w:rPr>
                <w:sz w:val="24"/>
              </w:rPr>
              <w:t>四</w:t>
            </w:r>
            <w:r>
              <w:rPr>
                <w:rFonts w:hAnsi="Times New Roman"/>
                <w:sz w:val="24"/>
              </w:rPr>
              <w:t>)</w:t>
            </w:r>
            <w:r>
              <w:rPr>
                <w:sz w:val="24"/>
              </w:rPr>
              <w:t>规范办学行为</w:t>
            </w:r>
            <w:r>
              <w:rPr>
                <w:rFonts w:hint="eastAsia"/>
                <w:sz w:val="24"/>
              </w:rPr>
              <w:t>与素质教育</w:t>
            </w:r>
          </w:p>
          <w:p>
            <w:pPr>
              <w:widowControl/>
              <w:snapToGrid w:val="0"/>
              <w:jc w:val="center"/>
              <w:rPr>
                <w:rFonts w:hAnsi="Times New Roman"/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 w:hAnsi="Times New Roman"/>
                <w:sz w:val="24"/>
              </w:rPr>
              <w:t>22</w:t>
            </w:r>
            <w:r>
              <w:rPr>
                <w:sz w:val="24"/>
              </w:rPr>
              <w:t>分）</w:t>
            </w:r>
          </w:p>
          <w:p>
            <w:pPr>
              <w:widowControl/>
              <w:snapToGrid w:val="0"/>
              <w:jc w:val="center"/>
              <w:rPr>
                <w:rFonts w:ascii="宋体"/>
                <w:sz w:val="20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 w:eastAsia="黑体"/>
                <w:color w:val="000000"/>
                <w:sz w:val="24"/>
              </w:rPr>
            </w:pPr>
            <w:r>
              <w:rPr>
                <w:rFonts w:hAnsi="Times New Roman" w:eastAsia="黑体"/>
                <w:color w:val="000000"/>
                <w:sz w:val="24"/>
              </w:rPr>
              <w:t>2.4.1义务教育学校不设重点校和重点班。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 w:eastAsia="黑体"/>
                <w:color w:val="000000"/>
                <w:sz w:val="24"/>
              </w:rPr>
            </w:pPr>
            <w:r>
              <w:rPr>
                <w:rFonts w:hAnsi="Times New Roman" w:eastAsia="黑体"/>
                <w:color w:val="000000"/>
                <w:sz w:val="24"/>
              </w:rPr>
              <w:t>2.4.2义务教育阶段学校实行免试</w:t>
            </w:r>
            <w:r>
              <w:rPr>
                <w:rFonts w:hint="eastAsia" w:hAnsi="Times New Roman" w:eastAsia="黑体"/>
                <w:color w:val="000000"/>
                <w:sz w:val="24"/>
              </w:rPr>
              <w:t>就近</w:t>
            </w:r>
            <w:r>
              <w:rPr>
                <w:rFonts w:hAnsi="Times New Roman" w:eastAsia="黑体"/>
                <w:color w:val="000000"/>
                <w:sz w:val="24"/>
              </w:rPr>
              <w:t>入学，无任何形式的选拔性考试行为。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 w:eastAsia="黑体"/>
                <w:color w:val="000000"/>
                <w:sz w:val="24"/>
              </w:rPr>
            </w:pPr>
            <w:r>
              <w:rPr>
                <w:rFonts w:hAnsi="Times New Roman" w:eastAsia="黑体"/>
                <w:color w:val="000000"/>
                <w:sz w:val="24"/>
              </w:rPr>
              <w:t>2.4.3学校严格执行课程计划，开齐开足各科课程课时；无违规集体补课现象。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 w:eastAsia="黑体"/>
                <w:color w:val="000000"/>
                <w:sz w:val="24"/>
              </w:rPr>
            </w:pPr>
            <w:r>
              <w:rPr>
                <w:rFonts w:hAnsi="Times New Roman" w:eastAsia="黑体"/>
                <w:color w:val="000000"/>
                <w:sz w:val="24"/>
              </w:rPr>
              <w:t>2.4.4</w:t>
            </w:r>
            <w:r>
              <w:rPr>
                <w:rFonts w:hint="eastAsia" w:hAnsi="Times New Roman" w:eastAsia="黑体"/>
                <w:color w:val="000000"/>
                <w:sz w:val="24"/>
              </w:rPr>
              <w:t>实行收费公示制度，</w:t>
            </w:r>
            <w:r>
              <w:rPr>
                <w:rFonts w:hAnsi="Times New Roman" w:eastAsia="黑体"/>
                <w:color w:val="000000"/>
                <w:sz w:val="24"/>
              </w:rPr>
              <w:t>严格执行教育收费规定,</w:t>
            </w:r>
            <w:r>
              <w:rPr>
                <w:rFonts w:hint="eastAsia" w:hAnsi="Times New Roman" w:eastAsia="黑体"/>
                <w:color w:val="000000"/>
                <w:sz w:val="24"/>
              </w:rPr>
              <w:t>近1年</w:t>
            </w:r>
            <w:r>
              <w:rPr>
                <w:rFonts w:hAnsi="Times New Roman" w:eastAsia="黑体"/>
                <w:color w:val="000000"/>
                <w:sz w:val="24"/>
              </w:rPr>
              <w:t>无</w:t>
            </w:r>
            <w:r>
              <w:rPr>
                <w:rFonts w:hint="eastAsia" w:hAnsi="Times New Roman" w:eastAsia="黑体"/>
                <w:color w:val="000000"/>
                <w:sz w:val="24"/>
              </w:rPr>
              <w:t>学校</w:t>
            </w:r>
            <w:r>
              <w:rPr>
                <w:rFonts w:hAnsi="Times New Roman" w:eastAsia="黑体"/>
                <w:color w:val="000000"/>
                <w:sz w:val="24"/>
              </w:rPr>
              <w:t>违规收费现象。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2.4.5按照省规定安排中小学作息时间</w:t>
            </w:r>
            <w:r>
              <w:rPr>
                <w:rFonts w:hint="eastAsia" w:ascii="宋体"/>
                <w:color w:val="000000"/>
                <w:sz w:val="24"/>
              </w:rPr>
              <w:t>;</w:t>
            </w:r>
            <w:r>
              <w:rPr>
                <w:rFonts w:hint="eastAsia" w:ascii="宋体"/>
                <w:sz w:val="24"/>
              </w:rPr>
              <w:t xml:space="preserve"> 安排学生作业数量和内容符合国家和省的有关规定。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2.4.</w:t>
            </w:r>
            <w:r>
              <w:rPr>
                <w:rFonts w:hint="eastAsia" w:hAnsi="Times New Roman"/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>中小学教师无违反《中小学教师职业道德规范》行为。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3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2.4.</w:t>
            </w:r>
            <w:r>
              <w:rPr>
                <w:rFonts w:hint="eastAsia" w:hAnsi="Times New Roman"/>
                <w:color w:val="000000"/>
                <w:sz w:val="24"/>
              </w:rPr>
              <w:t>7</w:t>
            </w:r>
            <w:r>
              <w:rPr>
                <w:rFonts w:hint="eastAsia" w:ascii="宋体"/>
                <w:color w:val="000000"/>
                <w:sz w:val="24"/>
              </w:rPr>
              <w:t>实施素质教育，不断深化教学改革，科学评价学生德智体美等全面发展状况；加强德育工作，德育工作队伍健全；</w:t>
            </w:r>
            <w:r>
              <w:rPr>
                <w:rFonts w:hint="eastAsia" w:ascii="宋体"/>
                <w:sz w:val="24"/>
              </w:rPr>
              <w:t>把培育和践行社会主义核心价值观融入课堂教学、社会实践、校园文化、学校管理全过程；</w:t>
            </w:r>
            <w:r>
              <w:rPr>
                <w:rFonts w:hint="eastAsia" w:ascii="宋体"/>
                <w:color w:val="000000"/>
                <w:sz w:val="24"/>
              </w:rPr>
              <w:t>重视中小学生安全教育和心理健康教育，开展学期初与学期末的安全教育周活动，采取积极措施排除学生心理障碍，无发生校方责任的学生伤害事故。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0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ascii="宋体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2.4.8</w:t>
            </w:r>
            <w:r>
              <w:rPr>
                <w:rFonts w:hint="eastAsia" w:ascii="黑体" w:eastAsia="黑体"/>
                <w:color w:val="000000"/>
                <w:sz w:val="24"/>
              </w:rPr>
              <w:t>重视阳光体育运动，切实保证学生每天1小时校园体育锻炼时间；重视美育，培养学生良好的审美情趣和人文素养。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(五)</w:t>
            </w:r>
            <w:r>
              <w:rPr>
                <w:rFonts w:hint="eastAsia" w:ascii="宋体"/>
                <w:sz w:val="24"/>
              </w:rPr>
              <w:t>办学成效</w:t>
            </w:r>
            <w:r>
              <w:rPr>
                <w:rFonts w:ascii="宋体"/>
                <w:sz w:val="18"/>
              </w:rPr>
              <w:t>（</w:t>
            </w:r>
            <w:r>
              <w:rPr>
                <w:rFonts w:hint="eastAsia" w:ascii="宋体"/>
                <w:sz w:val="18"/>
              </w:rPr>
              <w:t>9</w:t>
            </w:r>
            <w:r>
              <w:rPr>
                <w:rFonts w:ascii="宋体"/>
                <w:sz w:val="18"/>
              </w:rPr>
              <w:t>分）</w:t>
            </w: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hAnsi="Times New Roman" w:eastAsia="黑体"/>
                <w:b/>
                <w:color w:val="000000"/>
                <w:sz w:val="24"/>
              </w:rPr>
              <w:t>2.5.1</w:t>
            </w:r>
            <w:r>
              <w:rPr>
                <w:rFonts w:hint="eastAsia" w:ascii="黑体" w:eastAsia="黑体"/>
                <w:color w:val="000000"/>
                <w:sz w:val="24"/>
              </w:rPr>
              <w:t>中小学校学生年体检率达</w:t>
            </w:r>
            <w:r>
              <w:rPr>
                <w:rFonts w:hint="eastAsia" w:ascii="黑体" w:hAnsi="Times New Roman" w:eastAsia="黑体"/>
                <w:color w:val="000000"/>
                <w:sz w:val="24"/>
              </w:rPr>
              <w:t>100%</w:t>
            </w:r>
            <w:r>
              <w:rPr>
                <w:rFonts w:hint="eastAsia" w:ascii="黑体" w:eastAsia="黑体"/>
                <w:color w:val="000000"/>
                <w:sz w:val="24"/>
              </w:rPr>
              <w:t>；学校全面落实新生入学查验预防接种证制度；学生晨检、因病缺课登记报告制度执行良好。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</w:rPr>
              <w:t>2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hAnsi="Times New Roman" w:eastAsia="黑体"/>
                <w:b/>
                <w:color w:val="000000"/>
                <w:sz w:val="24"/>
              </w:rPr>
              <w:t>2.5.2</w:t>
            </w:r>
            <w:r>
              <w:rPr>
                <w:rFonts w:hint="eastAsia" w:ascii="黑体" w:eastAsia="黑体"/>
                <w:color w:val="000000"/>
                <w:sz w:val="24"/>
              </w:rPr>
              <w:t>学前教育普及水平不断提高，毛入园率达到</w:t>
            </w:r>
            <w:r>
              <w:rPr>
                <w:rFonts w:hint="eastAsia" w:ascii="黑体" w:hAnsi="Times New Roman" w:eastAsia="黑体"/>
                <w:color w:val="000000"/>
                <w:sz w:val="24"/>
              </w:rPr>
              <w:t>90%</w:t>
            </w:r>
            <w:r>
              <w:rPr>
                <w:rFonts w:hint="eastAsia" w:ascii="黑体" w:eastAsia="黑体"/>
                <w:color w:val="000000"/>
                <w:sz w:val="24"/>
              </w:rPr>
              <w:t>以上；采取措施大力发展公办幼儿园、扶持普惠性民办幼儿园，公办幼儿园和普惠性民办幼儿园比例逐步提高。·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3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 w:eastAsia="黑体"/>
                <w:color w:val="000000"/>
                <w:sz w:val="24"/>
              </w:rPr>
            </w:pPr>
            <w:r>
              <w:rPr>
                <w:rFonts w:hint="eastAsia" w:hAnsi="Times New Roman" w:eastAsia="黑体"/>
                <w:color w:val="000000"/>
                <w:sz w:val="24"/>
              </w:rPr>
              <w:t>2</w:t>
            </w:r>
            <w:r>
              <w:rPr>
                <w:rFonts w:hAnsi="Times New Roman" w:eastAsia="黑体"/>
                <w:color w:val="000000"/>
                <w:sz w:val="24"/>
              </w:rPr>
              <w:t>.5.3</w:t>
            </w:r>
            <w:r>
              <w:rPr>
                <w:rFonts w:hint="eastAsia" w:ascii="黑体" w:hAnsi="黑体" w:eastAsia="黑体"/>
                <w:color w:val="000000"/>
                <w:sz w:val="24"/>
              </w:rPr>
              <w:t>义务教育普及水平进一步巩固，初中生年辍学率1.5%以下。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Ansi="Times New Roman"/>
                <w:sz w:val="24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sz w:val="24"/>
              </w:rPr>
            </w:pPr>
          </w:p>
        </w:tc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color w:val="000000"/>
                <w:sz w:val="24"/>
              </w:rPr>
            </w:pPr>
            <w:r>
              <w:rPr>
                <w:rFonts w:hint="eastAsia" w:hAnsi="Times New Roman"/>
                <w:color w:val="000000"/>
                <w:sz w:val="24"/>
              </w:rPr>
              <w:t>2</w:t>
            </w:r>
            <w:r>
              <w:rPr>
                <w:rFonts w:hAnsi="Times New Roman"/>
                <w:color w:val="000000"/>
                <w:sz w:val="24"/>
              </w:rPr>
              <w:t>.5.</w:t>
            </w:r>
            <w:r>
              <w:rPr>
                <w:rFonts w:hAnsi="Times New Roman"/>
                <w:sz w:val="24"/>
              </w:rPr>
              <w:t>4</w:t>
            </w:r>
            <w:r>
              <w:rPr>
                <w:rFonts w:hint="eastAsia"/>
                <w:sz w:val="24"/>
              </w:rPr>
              <w:t>学校全面实施《国家学生体质健康标准》，学校数据上报率达100%，学生体质健康每年优良率达到25%，且合格率达到93%。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2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  <w:r>
              <w:rPr>
                <w:rFonts w:hAnsi="Times New Roman"/>
                <w:color w:val="000000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color w:val="000000"/>
                <w:sz w:val="24"/>
              </w:rPr>
            </w:pPr>
          </w:p>
        </w:tc>
      </w:tr>
    </w:tbl>
    <w:p>
      <w:pPr>
        <w:snapToGrid w:val="0"/>
        <w:spacing w:after="120"/>
        <w:jc w:val="center"/>
        <w:rPr>
          <w:rFonts w:ascii="黑体" w:eastAsia="黑体"/>
          <w:sz w:val="36"/>
        </w:rPr>
      </w:pPr>
    </w:p>
    <w:p>
      <w:pPr>
        <w:snapToGrid w:val="0"/>
        <w:spacing w:after="120"/>
        <w:rPr>
          <w:rFonts w:ascii="黑体" w:eastAsia="黑体"/>
          <w:sz w:val="36"/>
        </w:rPr>
      </w:pPr>
    </w:p>
    <w:p>
      <w:pPr>
        <w:snapToGrid w:val="0"/>
        <w:spacing w:after="120"/>
        <w:rPr>
          <w:rFonts w:ascii="黑体" w:eastAsia="黑体"/>
          <w:sz w:val="36"/>
        </w:rPr>
      </w:pPr>
    </w:p>
    <w:p>
      <w:pPr>
        <w:snapToGrid w:val="0"/>
        <w:spacing w:after="120"/>
        <w:rPr>
          <w:rFonts w:ascii="黑体" w:eastAsia="黑体"/>
          <w:sz w:val="36"/>
        </w:rPr>
      </w:pPr>
    </w:p>
    <w:p>
      <w:pPr>
        <w:snapToGrid w:val="0"/>
        <w:spacing w:after="120"/>
        <w:rPr>
          <w:rFonts w:ascii="黑体" w:eastAsia="黑体"/>
          <w:sz w:val="36"/>
        </w:rPr>
      </w:pPr>
    </w:p>
    <w:p>
      <w:pPr>
        <w:snapToGrid w:val="0"/>
        <w:spacing w:after="120"/>
        <w:rPr>
          <w:rFonts w:ascii="黑体" w:eastAsia="黑体"/>
          <w:sz w:val="36"/>
        </w:rPr>
      </w:pPr>
    </w:p>
    <w:p>
      <w:pPr>
        <w:snapToGrid w:val="0"/>
        <w:spacing w:after="120"/>
        <w:rPr>
          <w:rFonts w:ascii="黑体" w:eastAsia="黑体"/>
          <w:sz w:val="36"/>
        </w:rPr>
      </w:pPr>
    </w:p>
    <w:p>
      <w:pPr>
        <w:snapToGrid w:val="0"/>
        <w:spacing w:after="120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（二）总评分统计表</w:t>
      </w:r>
    </w:p>
    <w:tbl>
      <w:tblPr>
        <w:tblStyle w:val="2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2594"/>
        <w:gridCol w:w="1160"/>
        <w:gridCol w:w="1534"/>
        <w:gridCol w:w="15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一级指标</w:t>
            </w:r>
          </w:p>
        </w:tc>
        <w:tc>
          <w:tcPr>
            <w:tcW w:w="2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二级指标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分值</w:t>
            </w:r>
          </w:p>
        </w:tc>
        <w:tc>
          <w:tcPr>
            <w:tcW w:w="30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</w:p>
        </w:tc>
        <w:tc>
          <w:tcPr>
            <w:tcW w:w="2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自评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他评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一、政府责任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（一）规划与机制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bCs/>
                <w:sz w:val="26"/>
                <w:szCs w:val="26"/>
              </w:rPr>
            </w:pPr>
            <w:r>
              <w:rPr>
                <w:rFonts w:hint="eastAsia" w:hAnsi="Times New Roman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hAnsi="Times New Roman"/>
                <w:b/>
                <w:bCs/>
                <w:color w:val="000000" w:themeColor="text1"/>
                <w:sz w:val="26"/>
                <w:szCs w:val="26"/>
              </w:rPr>
              <w:t>16.5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（二）改善办学条件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bCs/>
                <w:sz w:val="26"/>
                <w:szCs w:val="26"/>
              </w:rPr>
            </w:pPr>
            <w:r>
              <w:rPr>
                <w:rFonts w:hint="eastAsia" w:hAnsi="Times New Roman"/>
                <w:b/>
                <w:bCs/>
                <w:sz w:val="26"/>
                <w:szCs w:val="26"/>
              </w:rPr>
              <w:t>38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hint="eastAsia" w:hAnsi="Times New Roman"/>
                <w:b/>
                <w:bCs/>
                <w:color w:val="000000" w:themeColor="text1"/>
                <w:sz w:val="26"/>
                <w:szCs w:val="26"/>
              </w:rPr>
              <w:t>3</w:t>
            </w:r>
            <w:r>
              <w:rPr>
                <w:rFonts w:hAnsi="Times New Roman"/>
                <w:b/>
                <w:bCs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（三）师资队伍建设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b/>
                <w:bCs/>
                <w:sz w:val="26"/>
                <w:szCs w:val="26"/>
              </w:rPr>
            </w:pPr>
            <w:r>
              <w:rPr>
                <w:rFonts w:hint="eastAsia" w:ascii="宋体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hAnsi="Times New Roman" w:eastAsia="宋体"/>
                <w:b/>
                <w:bCs/>
                <w:color w:val="000000" w:themeColor="text1"/>
                <w:sz w:val="26"/>
                <w:szCs w:val="26"/>
                <w:lang w:val="en-US" w:eastAsia="zh-CN"/>
              </w:rPr>
            </w:pPr>
            <w:r>
              <w:rPr>
                <w:rFonts w:hint="eastAsia" w:hAnsi="Times New Roman"/>
                <w:b/>
                <w:bCs/>
                <w:color w:val="000000" w:themeColor="text1"/>
                <w:sz w:val="26"/>
                <w:szCs w:val="26"/>
                <w:lang w:val="en-US" w:eastAsia="zh-CN"/>
              </w:rPr>
              <w:t>12.7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二、教育管理与素质教育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（四）规范办学行为与素质教育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b/>
                <w:bCs/>
                <w:sz w:val="26"/>
                <w:szCs w:val="26"/>
              </w:rPr>
            </w:pPr>
            <w:r>
              <w:rPr>
                <w:rFonts w:hint="eastAsia" w:ascii="宋体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bCs/>
                <w:sz w:val="26"/>
                <w:szCs w:val="26"/>
              </w:rPr>
            </w:pPr>
            <w:r>
              <w:rPr>
                <w:rFonts w:hint="eastAsia" w:hAnsi="Times New Roman"/>
                <w:b/>
                <w:bCs/>
                <w:sz w:val="26"/>
                <w:szCs w:val="26"/>
              </w:rPr>
              <w:t>2</w:t>
            </w:r>
            <w:r>
              <w:rPr>
                <w:rFonts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（五）办学成效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b/>
                <w:bCs/>
                <w:sz w:val="26"/>
                <w:szCs w:val="26"/>
              </w:rPr>
            </w:pPr>
            <w:r>
              <w:rPr>
                <w:rFonts w:hint="eastAsia" w:ascii="宋体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b/>
                <w:bCs/>
                <w:sz w:val="26"/>
                <w:szCs w:val="26"/>
              </w:rPr>
            </w:pPr>
            <w:r>
              <w:rPr>
                <w:rFonts w:hint="eastAsia" w:hAnsi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Ansi="Times New Roman"/>
                <w:sz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/>
                <w:sz w:val="26"/>
              </w:rPr>
            </w:pPr>
            <w:r>
              <w:rPr>
                <w:rFonts w:hint="eastAsia" w:ascii="黑体" w:eastAsia="黑体"/>
                <w:sz w:val="26"/>
              </w:rPr>
              <w:t>督导验收指标得分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b/>
                <w:bCs/>
                <w:sz w:val="26"/>
                <w:szCs w:val="26"/>
              </w:rPr>
            </w:pPr>
            <w:r>
              <w:rPr>
                <w:rFonts w:hint="eastAsia" w:ascii="宋体"/>
                <w:b/>
                <w:bCs/>
                <w:sz w:val="26"/>
                <w:szCs w:val="26"/>
              </w:rPr>
              <w:t>　100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eastAsia="宋体"/>
                <w:b/>
                <w:bCs/>
                <w:sz w:val="26"/>
                <w:szCs w:val="26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6"/>
                <w:szCs w:val="26"/>
              </w:rPr>
              <w:t>9</w:t>
            </w:r>
            <w:r>
              <w:rPr>
                <w:rFonts w:hint="eastAsia" w:ascii="宋体"/>
                <w:b/>
                <w:bCs/>
                <w:sz w:val="26"/>
                <w:szCs w:val="26"/>
                <w:lang w:val="en-US" w:eastAsia="zh-CN"/>
              </w:rPr>
              <w:t>8.2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宋体"/>
                <w:sz w:val="26"/>
              </w:rPr>
            </w:pPr>
          </w:p>
        </w:tc>
      </w:tr>
    </w:tbl>
    <w:p>
      <w:pPr>
        <w:rPr>
          <w:rFonts w:hAnsi="Times New Roman"/>
        </w:rPr>
      </w:pPr>
    </w:p>
    <w:p>
      <w:pPr>
        <w:jc w:val="center"/>
        <w:rPr>
          <w:rFonts w:ascii="黑体" w:hAnsi="Times New Roman" w:eastAsia="黑体"/>
          <w:sz w:val="36"/>
        </w:rPr>
      </w:pPr>
      <w:r>
        <w:rPr>
          <w:rFonts w:hint="eastAsia" w:ascii="黑体" w:eastAsia="黑体"/>
          <w:sz w:val="36"/>
        </w:rPr>
        <w:t>（三）自评报告</w:t>
      </w:r>
    </w:p>
    <w:tbl>
      <w:tblPr>
        <w:tblStyle w:val="2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8" w:hRule="atLeast"/>
          <w:jc w:val="center"/>
        </w:trPr>
        <w:tc>
          <w:tcPr>
            <w:tcW w:w="8666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自评报告另页</w:t>
            </w:r>
          </w:p>
        </w:tc>
      </w:tr>
    </w:tbl>
    <w:p>
      <w:pPr>
        <w:rPr>
          <w:rFonts w:hAnsi="Times New Roman"/>
        </w:rPr>
      </w:pPr>
    </w:p>
    <w:p>
      <w:pPr>
        <w:rPr>
          <w:rFonts w:hAnsi="Times New Roman"/>
        </w:rPr>
      </w:pPr>
    </w:p>
    <w:p>
      <w:pPr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（四）审核推荐意见</w:t>
      </w:r>
    </w:p>
    <w:p>
      <w:pPr>
        <w:jc w:val="center"/>
        <w:rPr>
          <w:rFonts w:hAnsi="Times New Roman"/>
          <w:sz w:val="36"/>
        </w:rPr>
      </w:pPr>
    </w:p>
    <w:tbl>
      <w:tblPr>
        <w:tblStyle w:val="2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8" w:hRule="atLeast"/>
          <w:jc w:val="center"/>
        </w:trPr>
        <w:tc>
          <w:tcPr>
            <w:tcW w:w="8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县（市、区）政府推荐意见：</w:t>
            </w:r>
          </w:p>
          <w:p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　  经审核， </w:t>
            </w:r>
            <w:r>
              <w:rPr>
                <w:rFonts w:hint="eastAsia" w:ascii="宋体"/>
                <w:sz w:val="24"/>
                <w:lang w:eastAsia="zh-CN"/>
              </w:rPr>
              <w:t>泰美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镇（乡、街道）教育强镇督导验收指标自评分为 </w:t>
            </w:r>
            <w:r>
              <w:rPr>
                <w:rFonts w:hint="eastAsia" w:ascii="宋体"/>
                <w:sz w:val="24"/>
                <w:lang w:val="en-US" w:eastAsia="zh-CN"/>
              </w:rPr>
              <w:t>98.2</w:t>
            </w:r>
            <w:r>
              <w:rPr>
                <w:rFonts w:hint="eastAsia" w:ascii="宋体"/>
                <w:sz w:val="24"/>
              </w:rPr>
              <w:t xml:space="preserve"> 分，同时其申报材料及其他各项要求均达到教育强镇（乡、街道）的标准，同意推荐</w:t>
            </w:r>
            <w:r>
              <w:rPr>
                <w:rFonts w:hint="eastAsia" w:ascii="宋体"/>
                <w:sz w:val="24"/>
                <w:lang w:eastAsia="zh-CN"/>
              </w:rPr>
              <w:t>泰美</w:t>
            </w:r>
            <w:r>
              <w:rPr>
                <w:rFonts w:hint="eastAsia" w:ascii="宋体"/>
                <w:sz w:val="24"/>
              </w:rPr>
              <w:t>镇（乡、街道）申报教育强镇（乡、街道）。</w:t>
            </w: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　</w:t>
            </w: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　单位(章）</w:t>
            </w:r>
            <w:r>
              <w:rPr>
                <w:rFonts w:hint="eastAsia" w:ascii="宋体"/>
                <w:sz w:val="24"/>
                <w:lang w:eastAsia="zh-CN"/>
              </w:rPr>
              <w:t>博罗县人民政府</w:t>
            </w:r>
          </w:p>
          <w:p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/>
                <w:sz w:val="24"/>
                <w:lang w:val="en-US" w:eastAsia="zh-CN"/>
              </w:rPr>
              <w:t>2023</w:t>
            </w:r>
            <w:r>
              <w:rPr>
                <w:rFonts w:hint="eastAsia" w:ascii="宋体"/>
                <w:sz w:val="24"/>
              </w:rPr>
              <w:t xml:space="preserve"> 年 </w:t>
            </w:r>
            <w:r>
              <w:rPr>
                <w:rFonts w:hint="eastAsia" w:ascii="宋体"/>
                <w:sz w:val="24"/>
                <w:lang w:val="en-US" w:eastAsia="zh-CN"/>
              </w:rPr>
              <w:t>3</w:t>
            </w:r>
            <w:r>
              <w:rPr>
                <w:rFonts w:hint="eastAsia" w:ascii="宋体"/>
                <w:sz w:val="24"/>
              </w:rPr>
              <w:t xml:space="preserve"> 月 </w:t>
            </w:r>
            <w:r>
              <w:rPr>
                <w:rFonts w:hint="eastAsia" w:ascii="宋体"/>
                <w:sz w:val="24"/>
                <w:lang w:val="en-US" w:eastAsia="zh-CN"/>
              </w:rPr>
              <w:t>14</w:t>
            </w:r>
            <w:bookmarkStart w:id="0" w:name="_GoBack"/>
            <w:bookmarkEnd w:id="0"/>
            <w:r>
              <w:rPr>
                <w:rFonts w:hint="eastAsia" w:ascii="宋体"/>
                <w:sz w:val="24"/>
              </w:rPr>
              <w:t xml:space="preserve"> 日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　</w:t>
            </w:r>
          </w:p>
        </w:tc>
      </w:tr>
    </w:tbl>
    <w:p>
      <w:pPr>
        <w:rPr>
          <w:rFonts w:hAnsi="Times New Roman"/>
        </w:rPr>
      </w:pPr>
    </w:p>
    <w:p>
      <w:pPr>
        <w:rPr>
          <w:rFonts w:hAnsi="Times New Roman"/>
        </w:rPr>
      </w:pPr>
    </w:p>
    <w:tbl>
      <w:tblPr>
        <w:tblStyle w:val="2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3" w:hRule="atLeast"/>
          <w:jc w:val="center"/>
        </w:trPr>
        <w:tc>
          <w:tcPr>
            <w:tcW w:w="880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地市教育局审核推荐意见：</w:t>
            </w:r>
          </w:p>
          <w:p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　</w:t>
            </w:r>
          </w:p>
          <w:p>
            <w:pPr>
              <w:widowControl/>
              <w:ind w:firstLine="480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经审核，     镇（乡、街道）教育强镇督导验收指标自评分为    分，    市教育局审核评分为      分，同时其申报材料及其他各项要求均达到教育强镇（乡、街道）的标准，同意推荐   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 镇（乡、街道）申报教育强镇（乡、街道）。</w:t>
            </w: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　</w:t>
            </w: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</w:t>
            </w:r>
          </w:p>
          <w:p>
            <w:pPr>
              <w:widowControl/>
              <w:jc w:val="center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　单位(章）</w:t>
            </w:r>
          </w:p>
          <w:p>
            <w:pPr>
              <w:widowControl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年  月  日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　　</w:t>
            </w:r>
          </w:p>
        </w:tc>
      </w:tr>
    </w:tbl>
    <w:p>
      <w:pPr>
        <w:spacing w:line="480" w:lineRule="exact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（五）督导验收情况记录</w:t>
      </w:r>
    </w:p>
    <w:p>
      <w:pPr>
        <w:snapToGrid w:val="0"/>
        <w:spacing w:line="240" w:lineRule="exact"/>
        <w:jc w:val="center"/>
        <w:rPr>
          <w:rFonts w:ascii="方正小标宋简体" w:hAnsi="华文中宋" w:eastAsia="方正小标宋简体"/>
          <w:color w:val="000000"/>
          <w:sz w:val="36"/>
        </w:rPr>
      </w:pPr>
    </w:p>
    <w:tbl>
      <w:tblPr>
        <w:tblStyle w:val="2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8" w:hRule="atLeast"/>
          <w:jc w:val="center"/>
        </w:trPr>
        <w:tc>
          <w:tcPr>
            <w:tcW w:w="8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 xml:space="preserve"> 督前检查意见（可另页）：</w:t>
            </w: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 xml:space="preserve">                                   督前检查人员（签名）</w:t>
            </w:r>
          </w:p>
          <w:p>
            <w:pPr>
              <w:widowControl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 xml:space="preserve">                                        年   月   日</w:t>
            </w:r>
          </w:p>
        </w:tc>
      </w:tr>
    </w:tbl>
    <w:p>
      <w:pPr>
        <w:rPr>
          <w:rFonts w:hAnsi="Times New Roman"/>
        </w:rPr>
      </w:pP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3" w:hRule="atLeast"/>
        </w:trPr>
        <w:tc>
          <w:tcPr>
            <w:tcW w:w="8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 xml:space="preserve"> 督导验收意见（可另页）：</w:t>
            </w: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正式验收人员（签名）组  长：</w:t>
            </w:r>
          </w:p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副组长：</w:t>
            </w:r>
          </w:p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组 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</w:rPr>
              <w:t>员：</w:t>
            </w:r>
          </w:p>
          <w:p>
            <w:pPr>
              <w:widowControl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6"/>
              </w:rPr>
              <w:t xml:space="preserve">                                        年   月   日</w:t>
            </w:r>
          </w:p>
        </w:tc>
      </w:tr>
    </w:tbl>
    <w:p>
      <w:pPr>
        <w:snapToGrid w:val="0"/>
        <w:jc w:val="center"/>
        <w:rPr>
          <w:rFonts w:hAnsi="Times New Roman"/>
          <w:sz w:val="36"/>
        </w:rPr>
      </w:pPr>
      <w:r>
        <w:rPr>
          <w:rFonts w:hint="eastAsia" w:ascii="黑体" w:eastAsia="黑体"/>
          <w:sz w:val="36"/>
        </w:rPr>
        <w:t>（六）省人民政府教育督导室和省教育厅意见</w:t>
      </w:r>
    </w:p>
    <w:p>
      <w:pPr>
        <w:rPr>
          <w:rFonts w:hAnsi="Times New Roman"/>
        </w:rPr>
      </w:pPr>
    </w:p>
    <w:tbl>
      <w:tblPr>
        <w:tblStyle w:val="2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5" w:hRule="atLeast"/>
          <w:jc w:val="center"/>
        </w:trPr>
        <w:tc>
          <w:tcPr>
            <w:tcW w:w="8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省人民政府教育督导室意见：</w:t>
            </w: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hint="eastAsia" w:ascii="宋体"/>
                <w:sz w:val="26"/>
              </w:rPr>
            </w:pPr>
            <w:r>
              <w:rPr>
                <w:rFonts w:hint="eastAsia" w:ascii="宋体"/>
                <w:sz w:val="26"/>
              </w:rPr>
              <w:t xml:space="preserve">                     </w:t>
            </w:r>
          </w:p>
          <w:p>
            <w:pPr>
              <w:widowControl/>
              <w:rPr>
                <w:rFonts w:hint="eastAsia" w:ascii="宋体"/>
                <w:sz w:val="26"/>
              </w:rPr>
            </w:pPr>
            <w:r>
              <w:rPr>
                <w:rFonts w:hint="eastAsia" w:ascii="宋体"/>
                <w:sz w:val="26"/>
              </w:rPr>
              <w:t xml:space="preserve">                      </w:t>
            </w:r>
          </w:p>
          <w:p>
            <w:pPr>
              <w:widowControl/>
              <w:ind w:firstLine="5200" w:firstLineChars="2000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单位(章）</w:t>
            </w:r>
          </w:p>
          <w:p>
            <w:pPr>
              <w:widowControl/>
              <w:rPr>
                <w:rFonts w:ascii="黑体" w:eastAsia="黑体"/>
                <w:sz w:val="24"/>
              </w:rPr>
            </w:pPr>
            <w:r>
              <w:rPr>
                <w:rFonts w:hint="eastAsia" w:ascii="宋体"/>
                <w:sz w:val="26"/>
              </w:rPr>
              <w:t xml:space="preserve">                                          年   月   日 </w:t>
            </w:r>
          </w:p>
        </w:tc>
      </w:tr>
    </w:tbl>
    <w:p>
      <w:pPr>
        <w:snapToGrid w:val="0"/>
        <w:spacing w:line="240" w:lineRule="exact"/>
        <w:rPr>
          <w:rFonts w:hAnsi="Times New Roman"/>
        </w:rPr>
      </w:pPr>
    </w:p>
    <w:p>
      <w:pPr>
        <w:snapToGrid w:val="0"/>
        <w:spacing w:line="240" w:lineRule="exact"/>
        <w:rPr>
          <w:rFonts w:hAnsi="Times New Roman"/>
        </w:rPr>
      </w:pPr>
    </w:p>
    <w:tbl>
      <w:tblPr>
        <w:tblStyle w:val="2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6" w:hRule="atLeast"/>
          <w:jc w:val="center"/>
        </w:trPr>
        <w:tc>
          <w:tcPr>
            <w:tcW w:w="8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eastAsia" w:ascii="宋体"/>
                <w:sz w:val="26"/>
              </w:rPr>
            </w:pPr>
            <w:r>
              <w:rPr>
                <w:rFonts w:hint="eastAsia" w:ascii="宋体"/>
                <w:sz w:val="26"/>
              </w:rPr>
              <w:t>省教育厅意见：</w:t>
            </w: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rPr>
                <w:rFonts w:ascii="宋体"/>
                <w:sz w:val="24"/>
              </w:rPr>
            </w:pPr>
          </w:p>
          <w:p>
            <w:pPr>
              <w:widowControl/>
              <w:ind w:firstLine="5720"/>
              <w:rPr>
                <w:rFonts w:ascii="宋体"/>
                <w:sz w:val="26"/>
              </w:rPr>
            </w:pPr>
            <w:r>
              <w:rPr>
                <w:rFonts w:hint="eastAsia" w:ascii="宋体"/>
                <w:sz w:val="26"/>
              </w:rPr>
              <w:t>单位(章）</w:t>
            </w:r>
          </w:p>
          <w:p>
            <w:pPr>
              <w:widowControl/>
              <w:rPr>
                <w:rFonts w:hint="eastAsia" w:ascii="宋体"/>
                <w:sz w:val="26"/>
              </w:rPr>
            </w:pPr>
            <w:r>
              <w:rPr>
                <w:rFonts w:hint="eastAsia" w:ascii="宋体"/>
                <w:sz w:val="26"/>
              </w:rPr>
              <w:t xml:space="preserve">                                         年   月   日</w:t>
            </w:r>
          </w:p>
        </w:tc>
      </w:tr>
    </w:tbl>
    <w:p>
      <w:pPr>
        <w:rPr>
          <w:rFonts w:hAnsi="Times New Roman"/>
          <w:sz w:val="18"/>
        </w:rPr>
      </w:pPr>
    </w:p>
    <w:sectPr>
      <w:footerReference r:id="rId3" w:type="default"/>
      <w:pgSz w:w="11906" w:h="16838"/>
      <w:pgMar w:top="2098" w:right="1474" w:bottom="1985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tabs>
        <w:tab w:val="center" w:pos="4153"/>
        <w:tab w:val="right" w:pos="8306"/>
      </w:tabs>
      <w:snapToGrid w:val="0"/>
      <w:jc w:val="left"/>
      <w:textAlignment w:val="baseline"/>
      <w:rPr>
        <w:rFonts w:hAnsi="Times New Roman"/>
        <w:sz w:val="18"/>
      </w:rPr>
    </w:pPr>
    <w:r>
      <w:rPr>
        <w:rFonts w:hAnsi="Times New Roman"/>
        <w:sz w:val="18"/>
      </w:rPr>
      <w:fldChar w:fldCharType="begin"/>
    </w:r>
    <w:r>
      <w:rPr>
        <w:rFonts w:hAnsi="Times New Roman"/>
        <w:sz w:val="18"/>
      </w:rPr>
      <w:instrText xml:space="preserve">PAGE</w:instrText>
    </w:r>
    <w:r>
      <w:rPr>
        <w:rFonts w:hAnsi="Times New Roman"/>
        <w:sz w:val="18"/>
      </w:rPr>
      <w:fldChar w:fldCharType="separate"/>
    </w:r>
    <w:r>
      <w:rPr>
        <w:rFonts w:hAnsi="Times New Roman"/>
        <w:sz w:val="18"/>
      </w:rPr>
      <w:t>4</w:t>
    </w:r>
    <w:r>
      <w:rPr>
        <w:rFonts w:hAnsi="Times New Roman"/>
        <w:sz w:val="18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hAnsi="Times New Roman"/>
        <w:sz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I0NTI4ZTI1YmM0MzcxZjYxZmY4NWVkNGIwZTE4ZDYifQ=="/>
  </w:docVars>
  <w:rsids>
    <w:rsidRoot w:val="006C0510"/>
    <w:rsid w:val="00016E5C"/>
    <w:rsid w:val="00034A39"/>
    <w:rsid w:val="00053190"/>
    <w:rsid w:val="00053248"/>
    <w:rsid w:val="000C028B"/>
    <w:rsid w:val="000E1C49"/>
    <w:rsid w:val="00121D7A"/>
    <w:rsid w:val="00144599"/>
    <w:rsid w:val="001A19E4"/>
    <w:rsid w:val="001A7BBF"/>
    <w:rsid w:val="001B57C6"/>
    <w:rsid w:val="001E6330"/>
    <w:rsid w:val="0023325D"/>
    <w:rsid w:val="002C1802"/>
    <w:rsid w:val="0033262A"/>
    <w:rsid w:val="00390A4F"/>
    <w:rsid w:val="003A123C"/>
    <w:rsid w:val="003A4CE1"/>
    <w:rsid w:val="003B3776"/>
    <w:rsid w:val="003E49CC"/>
    <w:rsid w:val="004615FD"/>
    <w:rsid w:val="00485268"/>
    <w:rsid w:val="004A3F86"/>
    <w:rsid w:val="004B230C"/>
    <w:rsid w:val="005718E8"/>
    <w:rsid w:val="00592535"/>
    <w:rsid w:val="005C5464"/>
    <w:rsid w:val="005E464C"/>
    <w:rsid w:val="006045AF"/>
    <w:rsid w:val="006278EE"/>
    <w:rsid w:val="006420CA"/>
    <w:rsid w:val="006428B4"/>
    <w:rsid w:val="00653806"/>
    <w:rsid w:val="00655474"/>
    <w:rsid w:val="006C0510"/>
    <w:rsid w:val="006E0A89"/>
    <w:rsid w:val="007258DE"/>
    <w:rsid w:val="00734F6A"/>
    <w:rsid w:val="00742834"/>
    <w:rsid w:val="00744198"/>
    <w:rsid w:val="007A67AC"/>
    <w:rsid w:val="007D14C6"/>
    <w:rsid w:val="007F126E"/>
    <w:rsid w:val="008B462F"/>
    <w:rsid w:val="008C13A8"/>
    <w:rsid w:val="008D312B"/>
    <w:rsid w:val="008D6DCF"/>
    <w:rsid w:val="008F1A9F"/>
    <w:rsid w:val="009456FE"/>
    <w:rsid w:val="0097256C"/>
    <w:rsid w:val="00991450"/>
    <w:rsid w:val="00A27CBD"/>
    <w:rsid w:val="00A357DA"/>
    <w:rsid w:val="00A5538F"/>
    <w:rsid w:val="00B52358"/>
    <w:rsid w:val="00B85A6D"/>
    <w:rsid w:val="00BB6F1E"/>
    <w:rsid w:val="00BE717A"/>
    <w:rsid w:val="00C13881"/>
    <w:rsid w:val="00CA4805"/>
    <w:rsid w:val="00CB26FF"/>
    <w:rsid w:val="00CC71EB"/>
    <w:rsid w:val="00CD0A01"/>
    <w:rsid w:val="00CE0316"/>
    <w:rsid w:val="00D366B1"/>
    <w:rsid w:val="00D43060"/>
    <w:rsid w:val="00D66D42"/>
    <w:rsid w:val="00D90D03"/>
    <w:rsid w:val="00DF32D6"/>
    <w:rsid w:val="00E15A62"/>
    <w:rsid w:val="00E533E3"/>
    <w:rsid w:val="00E6070A"/>
    <w:rsid w:val="00EC251B"/>
    <w:rsid w:val="00F040CB"/>
    <w:rsid w:val="00F430AA"/>
    <w:rsid w:val="00F86604"/>
    <w:rsid w:val="00FC0A79"/>
    <w:rsid w:val="0F19203C"/>
    <w:rsid w:val="1E5A10FB"/>
    <w:rsid w:val="257316C3"/>
    <w:rsid w:val="34FA262D"/>
    <w:rsid w:val="35DC6E0D"/>
    <w:rsid w:val="3DE52113"/>
    <w:rsid w:val="421A3D6B"/>
    <w:rsid w:val="4B925A92"/>
    <w:rsid w:val="519974B7"/>
    <w:rsid w:val="52AC5B2D"/>
    <w:rsid w:val="5F99054F"/>
    <w:rsid w:val="63770A6B"/>
    <w:rsid w:val="6E571E67"/>
    <w:rsid w:val="79F53F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Theme="minorEastAsia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宋体" w:eastAsia="宋体" w:cs="宋体"/>
      <w:sz w:val="21"/>
      <w:lang w:val="en-US" w:eastAsia="zh-CN" w:bidi="ar-SA"/>
    </w:rPr>
  </w:style>
  <w:style w:type="paragraph" w:styleId="2">
    <w:name w:val="heading 1"/>
    <w:next w:val="1"/>
    <w:qFormat/>
    <w:uiPriority w:val="0"/>
    <w:pPr>
      <w:wordWrap w:val="0"/>
      <w:spacing w:after="160"/>
      <w:jc w:val="both"/>
      <w:outlineLvl w:val="0"/>
    </w:pPr>
    <w:rPr>
      <w:rFonts w:ascii="宋体" w:hAnsi="宋体" w:cs="宋体" w:eastAsiaTheme="minorEastAsia"/>
      <w:sz w:val="28"/>
      <w:lang w:val="en-US" w:eastAsia="zh-CN" w:bidi="ar-SA"/>
    </w:rPr>
  </w:style>
  <w:style w:type="paragraph" w:styleId="3">
    <w:name w:val="heading 2"/>
    <w:next w:val="1"/>
    <w:qFormat/>
    <w:uiPriority w:val="0"/>
    <w:pPr>
      <w:wordWrap w:val="0"/>
      <w:spacing w:after="160"/>
      <w:jc w:val="both"/>
      <w:outlineLvl w:val="1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4">
    <w:name w:val="heading 3"/>
    <w:next w:val="1"/>
    <w:qFormat/>
    <w:uiPriority w:val="0"/>
    <w:pPr>
      <w:wordWrap w:val="0"/>
      <w:spacing w:after="160"/>
      <w:ind w:left="1400" w:hanging="400"/>
      <w:jc w:val="both"/>
      <w:outlineLvl w:val="2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5">
    <w:name w:val="heading 4"/>
    <w:next w:val="1"/>
    <w:qFormat/>
    <w:uiPriority w:val="0"/>
    <w:pPr>
      <w:wordWrap w:val="0"/>
      <w:spacing w:after="160"/>
      <w:ind w:left="1600" w:hanging="400"/>
      <w:jc w:val="both"/>
      <w:outlineLvl w:val="3"/>
    </w:pPr>
    <w:rPr>
      <w:rFonts w:ascii="宋体" w:hAnsi="宋体" w:cs="宋体" w:eastAsiaTheme="minorEastAsia"/>
      <w:b/>
      <w:sz w:val="21"/>
      <w:lang w:val="en-US" w:eastAsia="zh-CN" w:bidi="ar-SA"/>
    </w:rPr>
  </w:style>
  <w:style w:type="paragraph" w:styleId="6">
    <w:name w:val="heading 5"/>
    <w:next w:val="1"/>
    <w:qFormat/>
    <w:uiPriority w:val="0"/>
    <w:pPr>
      <w:wordWrap w:val="0"/>
      <w:spacing w:after="160"/>
      <w:ind w:left="1800" w:hanging="400"/>
      <w:jc w:val="both"/>
      <w:outlineLvl w:val="4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7">
    <w:name w:val="heading 6"/>
    <w:next w:val="1"/>
    <w:qFormat/>
    <w:uiPriority w:val="0"/>
    <w:pPr>
      <w:wordWrap w:val="0"/>
      <w:spacing w:after="160"/>
      <w:ind w:left="2000" w:hanging="400"/>
      <w:jc w:val="both"/>
      <w:outlineLvl w:val="5"/>
    </w:pPr>
    <w:rPr>
      <w:rFonts w:ascii="宋体" w:hAnsi="宋体" w:cs="宋体" w:eastAsiaTheme="minorEastAsia"/>
      <w:b/>
      <w:sz w:val="21"/>
      <w:lang w:val="en-US" w:eastAsia="zh-CN" w:bidi="ar-SA"/>
    </w:rPr>
  </w:style>
  <w:style w:type="paragraph" w:styleId="8">
    <w:name w:val="heading 7"/>
    <w:next w:val="1"/>
    <w:qFormat/>
    <w:uiPriority w:val="0"/>
    <w:pPr>
      <w:wordWrap w:val="0"/>
      <w:spacing w:after="160"/>
      <w:ind w:left="2200" w:hanging="400"/>
      <w:jc w:val="both"/>
      <w:outlineLvl w:val="6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9">
    <w:name w:val="heading 8"/>
    <w:next w:val="1"/>
    <w:qFormat/>
    <w:uiPriority w:val="0"/>
    <w:pPr>
      <w:wordWrap w:val="0"/>
      <w:spacing w:after="160"/>
      <w:ind w:left="2400" w:hanging="400"/>
      <w:jc w:val="both"/>
      <w:outlineLvl w:val="7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10">
    <w:name w:val="heading 9"/>
    <w:next w:val="1"/>
    <w:qFormat/>
    <w:uiPriority w:val="0"/>
    <w:pPr>
      <w:wordWrap w:val="0"/>
      <w:spacing w:after="160"/>
      <w:ind w:left="2600" w:hanging="400"/>
      <w:jc w:val="both"/>
      <w:outlineLvl w:val="8"/>
    </w:pPr>
    <w:rPr>
      <w:rFonts w:ascii="宋体" w:hAnsi="宋体" w:cs="宋体" w:eastAsiaTheme="minorEastAsia"/>
      <w:sz w:val="21"/>
      <w:lang w:val="en-US" w:eastAsia="zh-CN" w:bidi="ar-SA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qFormat/>
    <w:uiPriority w:val="0"/>
    <w:pPr>
      <w:wordWrap w:val="0"/>
      <w:ind w:left="2125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12">
    <w:name w:val="Normal Indent"/>
    <w:next w:val="1"/>
    <w:qFormat/>
    <w:uiPriority w:val="0"/>
    <w:pPr>
      <w:wordWrap w:val="0"/>
      <w:ind w:left="3400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13">
    <w:name w:val="toc 5"/>
    <w:next w:val="1"/>
    <w:qFormat/>
    <w:uiPriority w:val="0"/>
    <w:pPr>
      <w:wordWrap w:val="0"/>
      <w:ind w:left="1275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14">
    <w:name w:val="toc 3"/>
    <w:next w:val="1"/>
    <w:qFormat/>
    <w:uiPriority w:val="0"/>
    <w:pPr>
      <w:wordWrap w:val="0"/>
      <w:ind w:left="425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15">
    <w:name w:val="toc 8"/>
    <w:next w:val="1"/>
    <w:qFormat/>
    <w:uiPriority w:val="0"/>
    <w:pPr>
      <w:wordWrap w:val="0"/>
      <w:ind w:left="2550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16">
    <w:name w:val="footer"/>
    <w:basedOn w:val="1"/>
    <w:qFormat/>
    <w:uiPriority w:val="0"/>
    <w:rPr>
      <w:sz w:val="18"/>
    </w:rPr>
  </w:style>
  <w:style w:type="paragraph" w:styleId="17">
    <w:name w:val="header"/>
    <w:basedOn w:val="1"/>
    <w:qFormat/>
    <w:uiPriority w:val="0"/>
    <w:pPr>
      <w:jc w:val="center"/>
    </w:pPr>
    <w:rPr>
      <w:sz w:val="18"/>
    </w:rPr>
  </w:style>
  <w:style w:type="paragraph" w:styleId="18">
    <w:name w:val="toc 4"/>
    <w:next w:val="1"/>
    <w:qFormat/>
    <w:uiPriority w:val="0"/>
    <w:pPr>
      <w:wordWrap w:val="0"/>
      <w:ind w:left="850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19">
    <w:name w:val="Subtitle"/>
    <w:next w:val="1"/>
    <w:qFormat/>
    <w:uiPriority w:val="0"/>
    <w:pPr>
      <w:wordWrap w:val="0"/>
      <w:spacing w:after="60"/>
      <w:jc w:val="center"/>
    </w:pPr>
    <w:rPr>
      <w:rFonts w:ascii="宋体" w:hAnsi="宋体" w:cs="宋体" w:eastAsiaTheme="minorEastAsia"/>
      <w:sz w:val="24"/>
      <w:lang w:val="en-US" w:eastAsia="zh-CN" w:bidi="ar-SA"/>
    </w:rPr>
  </w:style>
  <w:style w:type="paragraph" w:styleId="20">
    <w:name w:val="toc 6"/>
    <w:next w:val="1"/>
    <w:qFormat/>
    <w:uiPriority w:val="0"/>
    <w:pPr>
      <w:wordWrap w:val="0"/>
      <w:ind w:left="1700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21">
    <w:name w:val="toc 2"/>
    <w:next w:val="1"/>
    <w:qFormat/>
    <w:uiPriority w:val="0"/>
    <w:pPr>
      <w:wordWrap w:val="0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paragraph" w:styleId="22">
    <w:name w:val="toc 9"/>
    <w:next w:val="1"/>
    <w:qFormat/>
    <w:uiPriority w:val="0"/>
    <w:pPr>
      <w:wordWrap w:val="0"/>
      <w:ind w:left="2975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character" w:styleId="25">
    <w:name w:val="Strong"/>
    <w:qFormat/>
    <w:uiPriority w:val="0"/>
    <w:rPr>
      <w:b/>
      <w:sz w:val="21"/>
    </w:rPr>
  </w:style>
  <w:style w:type="character" w:styleId="26">
    <w:name w:val="page number"/>
    <w:basedOn w:val="24"/>
    <w:qFormat/>
    <w:uiPriority w:val="0"/>
    <w:rPr>
      <w:sz w:val="20"/>
    </w:rPr>
  </w:style>
  <w:style w:type="character" w:styleId="27">
    <w:name w:val="Emphasis"/>
    <w:qFormat/>
    <w:uiPriority w:val="0"/>
    <w:rPr>
      <w:i/>
      <w:sz w:val="21"/>
    </w:rPr>
  </w:style>
  <w:style w:type="character" w:customStyle="1" w:styleId="28">
    <w:name w:val="不明显强调1"/>
    <w:qFormat/>
    <w:uiPriority w:val="0"/>
    <w:rPr>
      <w:i/>
      <w:color w:val="404040"/>
      <w:sz w:val="21"/>
    </w:rPr>
  </w:style>
  <w:style w:type="character" w:customStyle="1" w:styleId="29">
    <w:name w:val="明显强调1"/>
    <w:qFormat/>
    <w:uiPriority w:val="0"/>
    <w:rPr>
      <w:i/>
      <w:color w:val="5B9BD5"/>
      <w:sz w:val="21"/>
    </w:rPr>
  </w:style>
  <w:style w:type="paragraph" w:styleId="30">
    <w:name w:val="Quote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宋体" w:hAnsi="宋体" w:cs="宋体" w:eastAsiaTheme="minorEastAsia"/>
      <w:i/>
      <w:color w:val="404040"/>
      <w:sz w:val="21"/>
      <w:lang w:val="en-US" w:eastAsia="zh-CN" w:bidi="ar-SA"/>
    </w:rPr>
  </w:style>
  <w:style w:type="paragraph" w:styleId="31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宋体" w:hAnsi="宋体" w:cs="宋体" w:eastAsiaTheme="minorEastAsia"/>
      <w:i/>
      <w:color w:val="5B9BD5"/>
      <w:sz w:val="21"/>
      <w:lang w:val="en-US" w:eastAsia="zh-CN" w:bidi="ar-SA"/>
    </w:rPr>
  </w:style>
  <w:style w:type="character" w:customStyle="1" w:styleId="32">
    <w:name w:val="不明显参考1"/>
    <w:qFormat/>
    <w:uiPriority w:val="0"/>
    <w:rPr>
      <w:color w:val="5A5A5A"/>
      <w:sz w:val="21"/>
    </w:rPr>
  </w:style>
  <w:style w:type="character" w:customStyle="1" w:styleId="33">
    <w:name w:val="明显参考1"/>
    <w:qFormat/>
    <w:uiPriority w:val="0"/>
    <w:rPr>
      <w:b/>
      <w:color w:val="5B9BD5"/>
      <w:sz w:val="21"/>
    </w:rPr>
  </w:style>
  <w:style w:type="character" w:customStyle="1" w:styleId="34">
    <w:name w:val="书籍标题1"/>
    <w:qFormat/>
    <w:uiPriority w:val="0"/>
    <w:rPr>
      <w:b/>
      <w:i/>
      <w:sz w:val="21"/>
    </w:rPr>
  </w:style>
  <w:style w:type="paragraph" w:styleId="35">
    <w:name w:val="List Paragraph"/>
    <w:next w:val="1"/>
    <w:qFormat/>
    <w:uiPriority w:val="0"/>
    <w:pPr>
      <w:wordWrap w:val="0"/>
      <w:ind w:left="850"/>
      <w:jc w:val="both"/>
    </w:pPr>
    <w:rPr>
      <w:rFonts w:ascii="宋体" w:hAnsi="宋体" w:cs="宋体" w:eastAsiaTheme="minorEastAsia"/>
      <w:sz w:val="21"/>
      <w:lang w:val="en-US" w:eastAsia="zh-CN" w:bidi="ar-SA"/>
    </w:rPr>
  </w:style>
  <w:style w:type="paragraph" w:customStyle="1" w:styleId="36">
    <w:name w:val="TOC 标题1"/>
    <w:next w:val="1"/>
    <w:qFormat/>
    <w:uiPriority w:val="0"/>
    <w:pPr>
      <w:wordWrap w:val="0"/>
    </w:pPr>
    <w:rPr>
      <w:rFonts w:ascii="宋体" w:hAnsi="宋体" w:cs="宋体" w:eastAsiaTheme="minorEastAsia"/>
      <w:color w:val="2E74B5"/>
      <w:sz w:val="32"/>
      <w:lang w:val="en-US" w:eastAsia="zh-CN" w:bidi="ar-SA"/>
    </w:rPr>
  </w:style>
  <w:style w:type="character" w:customStyle="1" w:styleId="37">
    <w:name w:val="apple-style-span"/>
    <w:basedOn w:val="24"/>
    <w:qFormat/>
    <w:uiPriority w:val="0"/>
    <w:rPr>
      <w:sz w:val="20"/>
    </w:rPr>
  </w:style>
  <w:style w:type="character" w:customStyle="1" w:styleId="38">
    <w:name w:val="Char Char1"/>
    <w:qFormat/>
    <w:uiPriority w:val="0"/>
    <w:rPr>
      <w:sz w:val="20"/>
    </w:rPr>
  </w:style>
  <w:style w:type="character" w:customStyle="1" w:styleId="39">
    <w:name w:val="Char Char"/>
    <w:qFormat/>
    <w:uiPriority w:val="0"/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3095</Words>
  <Characters>3316</Characters>
  <Lines>31</Lines>
  <Paragraphs>8</Paragraphs>
  <TotalTime>129</TotalTime>
  <ScaleCrop>false</ScaleCrop>
  <LinksUpToDate>false</LinksUpToDate>
  <CharactersWithSpaces>4006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2018-04-08T02:13:00Z</dcterms:created>
  <dc:creator>აა㽐ა</dc:creator>
  <cp:lastModifiedBy>Administrator</cp:lastModifiedBy>
  <cp:lastPrinted>2020-09-14T09:48:00Z</cp:lastPrinted>
  <dcterms:modified xsi:type="dcterms:W3CDTF">2023-03-15T09:21:39Z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E7931480FE154467B7180A3F59A25514</vt:lpwstr>
  </property>
</Properties>
</file>