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57" w:rsidRDefault="00644F57">
      <w:pPr>
        <w:spacing w:line="480" w:lineRule="auto"/>
        <w:jc w:val="center"/>
        <w:rPr>
          <w:rFonts w:ascii="黑体" w:eastAsia="黑体" w:hAnsi="黑体"/>
          <w:color w:val="000000"/>
          <w:sz w:val="44"/>
          <w:szCs w:val="44"/>
        </w:rPr>
      </w:pPr>
      <w:r>
        <w:rPr>
          <w:rFonts w:ascii="黑体" w:eastAsia="黑体" w:hAnsi="黑体" w:cs="仿宋" w:hint="eastAsia"/>
          <w:color w:val="000000"/>
          <w:sz w:val="44"/>
          <w:szCs w:val="44"/>
        </w:rPr>
        <w:t>白盆珠镇申报广东省教育强镇复评</w:t>
      </w:r>
    </w:p>
    <w:p w:rsidR="00644F57" w:rsidRDefault="00644F57">
      <w:pPr>
        <w:spacing w:line="360" w:lineRule="auto"/>
        <w:jc w:val="center"/>
        <w:rPr>
          <w:rFonts w:ascii="宋体" w:cs="仿宋"/>
          <w:b/>
          <w:color w:val="000000"/>
          <w:sz w:val="44"/>
          <w:szCs w:val="44"/>
        </w:rPr>
      </w:pPr>
      <w:r>
        <w:rPr>
          <w:rFonts w:ascii="黑体" w:eastAsia="黑体" w:hAnsi="黑体" w:cs="仿宋" w:hint="eastAsia"/>
          <w:color w:val="000000"/>
          <w:sz w:val="44"/>
          <w:szCs w:val="44"/>
        </w:rPr>
        <w:t>督导验收存在问题整改报告</w:t>
      </w:r>
    </w:p>
    <w:p w:rsidR="00644F57" w:rsidRDefault="00644F57" w:rsidP="0052085C">
      <w:pPr>
        <w:spacing w:beforeLines="50" w:afterLines="50" w:line="360" w:lineRule="auto"/>
        <w:rPr>
          <w:rFonts w:ascii="宋体" w:cs="仿宋"/>
          <w:color w:val="000000"/>
          <w:sz w:val="30"/>
          <w:szCs w:val="30"/>
        </w:rPr>
      </w:pPr>
    </w:p>
    <w:p w:rsidR="00644F57" w:rsidRDefault="00644F57">
      <w:pPr>
        <w:spacing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广东省人民政府教育督导室：</w:t>
      </w:r>
    </w:p>
    <w:p w:rsidR="00644F57" w:rsidRDefault="00644F57">
      <w:pPr>
        <w:ind w:firstLine="63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cs="仿宋_GB2312"/>
          <w:kern w:val="0"/>
          <w:sz w:val="32"/>
          <w:szCs w:val="32"/>
        </w:rPr>
        <w:t>2016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kern w:val="0"/>
          <w:sz w:val="32"/>
          <w:szCs w:val="32"/>
        </w:rPr>
        <w:t>1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kern w:val="0"/>
          <w:sz w:val="32"/>
          <w:szCs w:val="32"/>
        </w:rPr>
        <w:t>15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日至</w:t>
      </w:r>
      <w:r>
        <w:rPr>
          <w:rFonts w:ascii="仿宋_GB2312" w:eastAsia="仿宋_GB2312" w:cs="仿宋_GB2312"/>
          <w:kern w:val="0"/>
          <w:sz w:val="32"/>
          <w:szCs w:val="32"/>
        </w:rPr>
        <w:t>16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>我镇顺利通过了广东省教育强镇第一轮复评督导验收。在验收总结会上，省督导验收组专家客观地提出了两条后续发展意见：</w:t>
      </w: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（一）进一步优化育人环境。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要积极筹措资金，尽快完成中学综合楼、中心幼儿园教学楼和中心小学礼堂建设工程，按教育“创强”新标准，完善各学校（幼儿园）及教学点功能场室建设，充实教学仪器设备和体育设施，按规范化幼儿园标准，配足配齐幼儿园（幼儿班）的功能室及教玩具，进一步优化育人环境。</w:t>
      </w: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（二）进一步深化内涵发展。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要继续加强师资队伍建设，着力提高校长队伍素质，优化教师学科结构，加强教师培训，进一步提高教师学历层次、专业水平和现代信息技术能力；继续加强学校（幼儿园）管理，活跃教研气氛，进一步提高办学水平；继续关注弱势群体教育，进一步重视留守儿童的工作；继续培育学校特色，打造山区学校办学特色。</w:t>
      </w:r>
    </w:p>
    <w:p w:rsidR="00644F57" w:rsidRDefault="00644F57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针对省督导验收组提出的意见和建议，白盆珠镇委、镇政府高度重视，成立了以镇委书记为总指挥，镇委副书记、镇长为组长，其他班子成员为副组长，有关单位负责人为成员的整改工作领导小组，认真制订了《白盆珠镇申报广东省教育强镇复评存在问题整改工作方案》，强化对整改工作的指导与监督，落实责任、明确目标，扎实推进整改工作。经过近六年不懈努力，整改成效喜人，整改任务顺利完成。目前，我镇教育整体实力得到显著提高，学校管理水平及办学效益进一步提升，有力巩固和扩展了教育创强成果。</w:t>
      </w:r>
    </w:p>
    <w:p w:rsidR="00644F57" w:rsidRDefault="00644F57" w:rsidP="001D6FA4">
      <w:pPr>
        <w:pStyle w:val="Heading2"/>
        <w:spacing w:before="0" w:after="0" w:line="360" w:lineRule="auto"/>
        <w:ind w:firstLineChars="200" w:firstLine="31680"/>
        <w:rPr>
          <w:rStyle w:val="Heading2Char"/>
          <w:rFonts w:ascii="黑体" w:eastAsia="黑体" w:hAnsi="黑体" w:cs="黑体"/>
        </w:rPr>
      </w:pPr>
      <w:bookmarkStart w:id="0" w:name="_Toc112334104"/>
      <w:r>
        <w:rPr>
          <w:rFonts w:ascii="黑体" w:eastAsia="黑体" w:hAnsi="黑体" w:hint="eastAsia"/>
        </w:rPr>
        <w:t>一、加大教育投入，进一步优化育人环境。</w:t>
      </w:r>
      <w:bookmarkEnd w:id="0"/>
    </w:p>
    <w:p w:rsidR="00644F57" w:rsidRDefault="00644F57" w:rsidP="001D6FA4">
      <w:pPr>
        <w:spacing w:line="360" w:lineRule="auto"/>
        <w:ind w:firstLineChars="200" w:firstLine="3168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面对经济收入少，保运作任务十分艰巨的压力，我镇始终不忘加大教育的投入力度，</w:t>
      </w:r>
      <w:r>
        <w:rPr>
          <w:rFonts w:ascii="仿宋_GB2312" w:eastAsia="仿宋_GB2312" w:hint="eastAsia"/>
          <w:sz w:val="32"/>
        </w:rPr>
        <w:t>镇主要领导仍然绞尽脑汁筹集教育资金，</w:t>
      </w:r>
      <w:r>
        <w:rPr>
          <w:rFonts w:ascii="仿宋_GB2312" w:eastAsia="仿宋_GB2312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年以来，为发展教育事业累计投入</w:t>
      </w:r>
      <w:r>
        <w:rPr>
          <w:rFonts w:ascii="仿宋_GB2312" w:eastAsia="仿宋_GB2312"/>
          <w:color w:val="000000"/>
          <w:sz w:val="32"/>
          <w:szCs w:val="32"/>
        </w:rPr>
        <w:t>2545</w:t>
      </w:r>
      <w:r>
        <w:rPr>
          <w:rFonts w:ascii="仿宋_GB2312" w:eastAsia="仿宋_GB2312" w:hint="eastAsia"/>
          <w:color w:val="000000"/>
          <w:sz w:val="32"/>
          <w:szCs w:val="32"/>
        </w:rPr>
        <w:t>多万</w:t>
      </w:r>
      <w:r>
        <w:rPr>
          <w:rFonts w:ascii="仿宋_GB2312" w:eastAsia="仿宋_GB2312" w:hint="eastAsia"/>
          <w:sz w:val="32"/>
          <w:szCs w:val="32"/>
        </w:rPr>
        <w:t>元，用于校舍建设、运动场地设施建设、现代化教育装配、奖教奖学、校园文化建设等：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一是为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白盆珠片各小学保安室、功能室场、课室进行维修升级改造；二是为白盆珠中学的学生食堂、厕所、体育器材室改造；三是对新庵片各学校的运动场、厕所、保安室、教学楼、宿舍、会议室进行升级改造；四是为沐化小学新建环形塑胶跑道和</w:t>
      </w:r>
      <w:r>
        <w:rPr>
          <w:rFonts w:ascii="仿宋_GB2312" w:eastAsia="仿宋_GB2312" w:hAnsi="宋体"/>
          <w:color w:val="000000"/>
          <w:sz w:val="32"/>
          <w:szCs w:val="32"/>
        </w:rPr>
        <w:t>60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米直跑道、篮球场和围墙；五是为共和小学新建塑胶跑道和篮球场；六是为共和小学新建一栋三层占地面积</w:t>
      </w:r>
      <w:r>
        <w:rPr>
          <w:rFonts w:ascii="仿宋_GB2312" w:eastAsia="仿宋_GB2312" w:hAnsi="宋体"/>
          <w:color w:val="000000"/>
          <w:sz w:val="32"/>
          <w:szCs w:val="32"/>
        </w:rPr>
        <w:t>176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平方米、建筑面积</w:t>
      </w:r>
      <w:r>
        <w:rPr>
          <w:rFonts w:ascii="仿宋_GB2312" w:eastAsia="仿宋_GB2312" w:hAnsi="宋体"/>
          <w:color w:val="000000"/>
          <w:sz w:val="32"/>
          <w:szCs w:val="32"/>
        </w:rPr>
        <w:t>528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平方米的综合楼；七是为沐化小学新建一栋三层占地面积</w:t>
      </w:r>
      <w:r>
        <w:rPr>
          <w:rFonts w:ascii="仿宋_GB2312" w:eastAsia="仿宋_GB2312" w:hAnsi="宋体"/>
          <w:color w:val="000000"/>
          <w:sz w:val="32"/>
          <w:szCs w:val="32"/>
        </w:rPr>
        <w:t>194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平方米、建筑面积</w:t>
      </w:r>
      <w:r>
        <w:rPr>
          <w:rFonts w:ascii="仿宋_GB2312" w:eastAsia="仿宋_GB2312" w:hAnsi="宋体"/>
          <w:color w:val="000000"/>
          <w:sz w:val="32"/>
          <w:szCs w:val="32"/>
        </w:rPr>
        <w:t>582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平方米的综合楼；八是为白马小学的综合楼进行升级改造；九是完善各中小学功能场室教学设备设施；十是为各中小学配备教学平台、电脑，完善了各校现代化教学设备，新增电教平台</w:t>
      </w:r>
      <w:r>
        <w:rPr>
          <w:rFonts w:ascii="仿宋_GB2312" w:eastAsia="仿宋_GB2312" w:hAnsi="宋体"/>
          <w:color w:val="000000"/>
          <w:sz w:val="32"/>
          <w:szCs w:val="32"/>
        </w:rPr>
        <w:t>55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套，新增学生电脑</w:t>
      </w:r>
      <w:r>
        <w:rPr>
          <w:rFonts w:ascii="仿宋_GB2312" w:eastAsia="仿宋_GB2312" w:hAnsi="宋体"/>
          <w:color w:val="000000"/>
          <w:sz w:val="32"/>
          <w:szCs w:val="32"/>
        </w:rPr>
        <w:t>34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台，新增教师电脑</w:t>
      </w:r>
      <w:r>
        <w:rPr>
          <w:rFonts w:ascii="仿宋_GB2312" w:eastAsia="仿宋_GB2312" w:hAnsi="宋体"/>
          <w:color w:val="000000"/>
          <w:sz w:val="32"/>
          <w:szCs w:val="32"/>
        </w:rPr>
        <w:t>22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台，全镇实现班班有电教平台，教师人人有电脑办公的目标；十一是加强各校园美化、绿化、文化建设；十二是</w:t>
      </w:r>
      <w:r>
        <w:rPr>
          <w:rFonts w:ascii="仿宋_GB2312" w:eastAsia="仿宋_GB2312" w:hAnsi="宋体"/>
          <w:color w:val="000000"/>
          <w:sz w:val="32"/>
          <w:szCs w:val="32"/>
        </w:rPr>
        <w:t>2023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年初追加投入</w:t>
      </w:r>
      <w:r>
        <w:rPr>
          <w:rFonts w:ascii="仿宋_GB2312" w:eastAsia="仿宋_GB2312" w:hAnsi="宋体"/>
          <w:color w:val="000000"/>
          <w:sz w:val="32"/>
          <w:szCs w:val="32"/>
        </w:rPr>
        <w:t>440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多万分别为横坑小学建设直跑道、厕所改建、围墙建设等项目约</w:t>
      </w:r>
      <w:r>
        <w:rPr>
          <w:rFonts w:ascii="仿宋_GB2312" w:eastAsia="仿宋_GB2312" w:hAnsi="宋体"/>
          <w:color w:val="000000"/>
          <w:sz w:val="32"/>
          <w:szCs w:val="32"/>
        </w:rPr>
        <w:t>40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万，白盆珠中学学生宿舍楼建设项目约</w:t>
      </w:r>
      <w:r>
        <w:rPr>
          <w:rFonts w:ascii="仿宋_GB2312" w:eastAsia="仿宋_GB2312" w:hAnsi="宋体"/>
          <w:color w:val="000000"/>
          <w:sz w:val="32"/>
          <w:szCs w:val="32"/>
        </w:rPr>
        <w:t>4OO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万。</w:t>
      </w:r>
      <w:r>
        <w:rPr>
          <w:rFonts w:ascii="仿宋_GB2312" w:eastAsia="仿宋_GB2312" w:hint="eastAsia"/>
          <w:sz w:val="32"/>
          <w:szCs w:val="32"/>
        </w:rPr>
        <w:t>目前，我镇所有校园后续建设工程已基本完成，现代化教育装备及校园文化建设得到进一步完善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夯实了我镇的办学条件，提升了我镇的教育现代化水平。</w:t>
      </w:r>
    </w:p>
    <w:p w:rsidR="00644F57" w:rsidRDefault="00644F57" w:rsidP="001D6FA4">
      <w:pPr>
        <w:spacing w:line="360" w:lineRule="auto"/>
        <w:ind w:firstLineChars="200" w:firstLine="31680"/>
        <w:rPr>
          <w:rStyle w:val="Heading2Char"/>
          <w:rFonts w:ascii="黑体" w:eastAsia="黑体" w:hAnsi="黑体"/>
        </w:rPr>
      </w:pPr>
      <w:bookmarkStart w:id="1" w:name="_Toc112334105"/>
      <w:r>
        <w:rPr>
          <w:rStyle w:val="Heading2Char"/>
          <w:rFonts w:ascii="黑体" w:eastAsia="黑体" w:hAnsi="黑体" w:hint="eastAsia"/>
        </w:rPr>
        <w:t>二、优化师资队伍，进一步深化内涵发展。</w:t>
      </w:r>
      <w:bookmarkEnd w:id="1"/>
    </w:p>
    <w:p w:rsidR="00644F57" w:rsidRDefault="00644F57" w:rsidP="001D6FA4">
      <w:pPr>
        <w:spacing w:line="60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我镇继续开展以镇为面、以校为本的教育科研，以研促教，坚持以课题研究为龙头，全面促进教育教学质量的提高。同时，高度重视师资队伍建设，及时制定《白盆珠镇人才培养工程实施方案》、《白盆珠镇奖教奖学方案》等规章制度，大力培养和引进优秀人才。通过实行鼓励教师提高学历，加强教师业务培训，启动“名师工程”，健全教师考评制度等措施充分调动教师的积极性，不断提升教师专业化水平，促进高素质师资队伍发展壮大。加强学校管理队伍建设，进一步提高中层以上干部的管理水平和能力，打造一支高素质的教育团队，促进教育教学质量的提高。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目前，我镇现有中学教师学历本科以上达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 xml:space="preserve"> 81.3 %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，小学教师学历大专以上达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85.7%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color w:val="000000"/>
          <w:sz w:val="32"/>
          <w:szCs w:val="32"/>
        </w:rPr>
        <w:t>全镇各中小学完成了县级以上的课题研究共</w:t>
      </w:r>
      <w:r>
        <w:rPr>
          <w:rFonts w:ascii="仿宋_GB2312" w:eastAsia="仿宋_GB2312"/>
          <w:color w:val="000000"/>
          <w:sz w:val="32"/>
          <w:szCs w:val="32"/>
        </w:rPr>
        <w:t>25</w:t>
      </w:r>
      <w:r>
        <w:rPr>
          <w:rFonts w:ascii="仿宋_GB2312" w:eastAsia="仿宋_GB2312" w:hint="eastAsia"/>
          <w:color w:val="000000"/>
          <w:sz w:val="32"/>
          <w:szCs w:val="32"/>
        </w:rPr>
        <w:t>个，其中，市级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个、县级</w:t>
      </w:r>
      <w:r>
        <w:rPr>
          <w:rFonts w:ascii="仿宋_GB2312" w:eastAsia="仿宋_GB2312"/>
          <w:color w:val="000000"/>
          <w:sz w:val="32"/>
          <w:szCs w:val="32"/>
        </w:rPr>
        <w:t>22</w:t>
      </w:r>
      <w:r>
        <w:rPr>
          <w:rFonts w:ascii="仿宋_GB2312" w:eastAsia="仿宋_GB2312" w:hint="eastAsia"/>
          <w:color w:val="000000"/>
          <w:sz w:val="32"/>
          <w:szCs w:val="32"/>
        </w:rPr>
        <w:t>个。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教育教学论文受到各级表彰共</w:t>
      </w:r>
      <w:r>
        <w:rPr>
          <w:rFonts w:ascii="仿宋_GB2312" w:eastAsia="仿宋_GB2312" w:hAnsi="仿宋"/>
          <w:color w:val="000000"/>
          <w:sz w:val="32"/>
          <w:szCs w:val="32"/>
        </w:rPr>
        <w:t>117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篇，其中市级表彰</w:t>
      </w:r>
      <w:r>
        <w:rPr>
          <w:rFonts w:ascii="仿宋_GB2312" w:eastAsia="仿宋_GB2312" w:hAnsi="仿宋"/>
          <w:color w:val="000000"/>
          <w:sz w:val="32"/>
          <w:szCs w:val="32"/>
        </w:rPr>
        <w:t>10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篇，县级表彰</w:t>
      </w:r>
      <w:r>
        <w:rPr>
          <w:rFonts w:ascii="仿宋_GB2312" w:eastAsia="仿宋_GB2312" w:hAnsi="仿宋"/>
          <w:color w:val="000000"/>
          <w:sz w:val="32"/>
          <w:szCs w:val="32"/>
        </w:rPr>
        <w:t>107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篇；发表在各级刊物的论文共</w:t>
      </w:r>
      <w:r>
        <w:rPr>
          <w:rFonts w:ascii="仿宋_GB2312" w:eastAsia="仿宋_GB2312" w:hAnsi="仿宋"/>
          <w:color w:val="000000"/>
          <w:sz w:val="32"/>
          <w:szCs w:val="32"/>
        </w:rPr>
        <w:t>27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篇，其中国家级刊物</w:t>
      </w:r>
      <w:r>
        <w:rPr>
          <w:rFonts w:ascii="仿宋_GB2312" w:eastAsia="仿宋_GB2312" w:hAnsi="仿宋"/>
          <w:color w:val="000000"/>
          <w:sz w:val="32"/>
          <w:szCs w:val="32"/>
        </w:rPr>
        <w:t>6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篇、省级刊物</w:t>
      </w:r>
      <w:r>
        <w:rPr>
          <w:rFonts w:ascii="仿宋_GB2312" w:eastAsia="仿宋_GB2312" w:hAnsi="仿宋"/>
          <w:color w:val="000000"/>
          <w:sz w:val="32"/>
          <w:szCs w:val="32"/>
        </w:rPr>
        <w:t>20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篇、市级刊物</w:t>
      </w:r>
      <w:r>
        <w:rPr>
          <w:rFonts w:ascii="仿宋_GB2312" w:eastAsia="仿宋_GB2312" w:hAnsi="仿宋"/>
          <w:color w:val="000000"/>
          <w:sz w:val="32"/>
          <w:szCs w:val="32"/>
        </w:rPr>
        <w:t>1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篇；教师受到学科竞赛表彰共</w:t>
      </w:r>
      <w:r>
        <w:rPr>
          <w:rFonts w:ascii="仿宋_GB2312" w:eastAsia="仿宋_GB2312" w:hAnsi="仿宋"/>
          <w:color w:val="000000"/>
          <w:sz w:val="32"/>
          <w:szCs w:val="32"/>
        </w:rPr>
        <w:t>109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人次，其中省级表彰</w:t>
      </w:r>
      <w:r>
        <w:rPr>
          <w:rFonts w:ascii="仿宋_GB2312" w:eastAsia="仿宋_GB2312" w:hAnsi="仿宋"/>
          <w:color w:val="000000"/>
          <w:sz w:val="32"/>
          <w:szCs w:val="32"/>
        </w:rPr>
        <w:t>1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人次，市级表彰</w:t>
      </w:r>
      <w:r>
        <w:rPr>
          <w:rFonts w:ascii="仿宋_GB2312" w:eastAsia="仿宋_GB2312" w:hAnsi="仿宋"/>
          <w:color w:val="000000"/>
          <w:sz w:val="32"/>
          <w:szCs w:val="32"/>
        </w:rPr>
        <w:t>4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人次，县级表彰</w:t>
      </w:r>
      <w:r>
        <w:rPr>
          <w:rFonts w:ascii="仿宋_GB2312" w:eastAsia="仿宋_GB2312" w:hAnsi="仿宋"/>
          <w:color w:val="000000"/>
          <w:sz w:val="32"/>
          <w:szCs w:val="32"/>
        </w:rPr>
        <w:t>104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人次。</w:t>
      </w:r>
    </w:p>
    <w:p w:rsidR="00644F57" w:rsidRDefault="00644F57">
      <w:pPr>
        <w:spacing w:line="360" w:lineRule="auto"/>
        <w:ind w:firstLine="630"/>
        <w:rPr>
          <w:rFonts w:ascii="仿宋_GB2312" w:eastAsia="仿宋_GB2312" w:hAnsi="仿宋" w:cs="仿宋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目前，我镇中小学、幼儿园在上级主管部门及当地党政的领导下，在各校师生共同的努力下，学校管理水平提升，教育教学质量大幅提高。我镇的现代化信息技术教育水平也大幅提升，师资力量雄厚，各种设备设施齐全完善。能满足学校可持续发展要求。</w:t>
      </w:r>
    </w:p>
    <w:p w:rsidR="00644F57" w:rsidRDefault="00644F57" w:rsidP="001D6FA4">
      <w:pPr>
        <w:spacing w:line="360" w:lineRule="auto"/>
        <w:ind w:firstLineChars="200" w:firstLine="31680"/>
        <w:rPr>
          <w:rFonts w:ascii="仿宋_GB2312" w:eastAsia="仿宋_GB2312" w:hAnsi="仿宋" w:cs="仿宋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特此报告。</w:t>
      </w:r>
    </w:p>
    <w:p w:rsidR="00644F57" w:rsidRDefault="00644F57" w:rsidP="001D6FA4">
      <w:pPr>
        <w:spacing w:line="360" w:lineRule="auto"/>
        <w:ind w:firstLineChars="200" w:firstLine="31680"/>
        <w:rPr>
          <w:rFonts w:ascii="仿宋_GB2312" w:eastAsia="仿宋_GB2312" w:hAnsi="仿宋" w:cs="仿宋"/>
          <w:color w:val="000000"/>
          <w:sz w:val="32"/>
          <w:szCs w:val="32"/>
        </w:rPr>
      </w:pPr>
    </w:p>
    <w:p w:rsidR="00644F57" w:rsidRDefault="00644F57" w:rsidP="001D6FA4">
      <w:pPr>
        <w:wordWrap w:val="0"/>
        <w:spacing w:line="360" w:lineRule="auto"/>
        <w:ind w:firstLineChars="200" w:firstLine="31680"/>
        <w:jc w:val="right"/>
        <w:rPr>
          <w:rFonts w:ascii="仿宋_GB2312" w:eastAsia="仿宋_GB2312" w:hAnsi="仿宋" w:cs="仿宋"/>
          <w:color w:val="000000"/>
          <w:sz w:val="32"/>
          <w:szCs w:val="32"/>
        </w:rPr>
      </w:pPr>
    </w:p>
    <w:p w:rsidR="00644F57" w:rsidRDefault="00644F57" w:rsidP="001D6FA4">
      <w:pPr>
        <w:wordWrap w:val="0"/>
        <w:spacing w:line="360" w:lineRule="auto"/>
        <w:ind w:firstLineChars="200" w:firstLine="31680"/>
        <w:jc w:val="right"/>
        <w:rPr>
          <w:rFonts w:ascii="仿宋_GB2312" w:eastAsia="仿宋_GB2312" w:hAnsi="仿宋" w:cs="仿宋"/>
          <w:color w:val="000000"/>
          <w:sz w:val="32"/>
          <w:szCs w:val="32"/>
        </w:rPr>
      </w:pPr>
    </w:p>
    <w:p w:rsidR="00644F57" w:rsidRDefault="00644F57" w:rsidP="001D6FA4">
      <w:pPr>
        <w:wordWrap w:val="0"/>
        <w:spacing w:line="360" w:lineRule="auto"/>
        <w:ind w:firstLineChars="200" w:firstLine="31680"/>
        <w:jc w:val="right"/>
        <w:rPr>
          <w:rFonts w:ascii="仿宋_GB2312" w:eastAsia="仿宋_GB2312" w:hAnsi="仿宋" w:cs="仿宋"/>
          <w:color w:val="000000"/>
          <w:sz w:val="32"/>
          <w:szCs w:val="32"/>
        </w:rPr>
      </w:pPr>
      <w:bookmarkStart w:id="2" w:name="_GoBack"/>
      <w:bookmarkEnd w:id="2"/>
      <w:r>
        <w:rPr>
          <w:rFonts w:ascii="仿宋_GB2312" w:eastAsia="仿宋_GB2312" w:hAnsi="仿宋" w:cs="仿宋" w:hint="eastAsia"/>
          <w:color w:val="000000"/>
          <w:sz w:val="32"/>
          <w:szCs w:val="32"/>
        </w:rPr>
        <w:t>惠东县白盆珠镇人民政府</w:t>
      </w:r>
    </w:p>
    <w:p w:rsidR="00644F57" w:rsidRDefault="00644F57" w:rsidP="00517ECA">
      <w:pPr>
        <w:spacing w:line="360" w:lineRule="auto"/>
        <w:ind w:firstLineChars="200" w:firstLine="31680"/>
        <w:jc w:val="center"/>
        <w:rPr>
          <w:rFonts w:ascii="仿宋" w:eastAsia="仿宋_GB2312" w:hAnsi="仿宋" w:cs="仿宋"/>
          <w:color w:val="000000"/>
          <w:sz w:val="28"/>
          <w:szCs w:val="28"/>
        </w:rPr>
      </w:pPr>
      <w:r>
        <w:rPr>
          <w:rFonts w:ascii="仿宋_GB2312" w:eastAsia="仿宋_GB2312" w:cs="仿宋"/>
          <w:color w:val="000000"/>
          <w:sz w:val="32"/>
          <w:szCs w:val="32"/>
        </w:rPr>
        <w:t xml:space="preserve">                            2023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年</w:t>
      </w:r>
      <w:r>
        <w:rPr>
          <w:rFonts w:ascii="仿宋_GB2312" w:eastAsia="仿宋_GB2312" w:cs="仿宋"/>
          <w:color w:val="000000"/>
          <w:sz w:val="32"/>
          <w:szCs w:val="32"/>
        </w:rPr>
        <w:t>3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月</w:t>
      </w:r>
    </w:p>
    <w:sectPr w:rsidR="00644F57" w:rsidSect="00111D50">
      <w:footerReference w:type="default" r:id="rId6"/>
      <w:pgSz w:w="11906" w:h="16838"/>
      <w:pgMar w:top="1701" w:right="1418" w:bottom="1418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F57" w:rsidRDefault="00644F57" w:rsidP="00111D50">
      <w:r>
        <w:separator/>
      </w:r>
    </w:p>
  </w:endnote>
  <w:endnote w:type="continuationSeparator" w:id="0">
    <w:p w:rsidR="00644F57" w:rsidRDefault="00644F57" w:rsidP="00111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F57" w:rsidRDefault="00644F57">
    <w:pPr>
      <w:pStyle w:val="Footer"/>
      <w:jc w:val="center"/>
      <w:rPr>
        <w:rFonts w:ascii="宋体"/>
        <w:sz w:val="21"/>
        <w:szCs w:val="21"/>
      </w:rPr>
    </w:pP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Pr="001D6FA4">
      <w:rPr>
        <w:rFonts w:ascii="宋体" w:hAnsi="宋体"/>
        <w:noProof/>
        <w:sz w:val="21"/>
        <w:szCs w:val="21"/>
        <w:lang w:val="zh-CN"/>
      </w:rPr>
      <w:t>1</w:t>
    </w:r>
    <w:r>
      <w:rPr>
        <w:rFonts w:ascii="宋体" w:hAnsi="宋体"/>
        <w:sz w:val="21"/>
        <w:szCs w:val="21"/>
      </w:rPr>
      <w:fldChar w:fldCharType="end"/>
    </w:r>
  </w:p>
  <w:p w:rsidR="00644F57" w:rsidRDefault="00644F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F57" w:rsidRDefault="00644F57" w:rsidP="00111D50">
      <w:r>
        <w:separator/>
      </w:r>
    </w:p>
  </w:footnote>
  <w:footnote w:type="continuationSeparator" w:id="0">
    <w:p w:rsidR="00644F57" w:rsidRDefault="00644F57" w:rsidP="00111D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5526C27"/>
    <w:rsid w:val="0001103A"/>
    <w:rsid w:val="00012F08"/>
    <w:rsid w:val="00024EFE"/>
    <w:rsid w:val="00025C4F"/>
    <w:rsid w:val="0005314B"/>
    <w:rsid w:val="00063754"/>
    <w:rsid w:val="00066A64"/>
    <w:rsid w:val="00070F4F"/>
    <w:rsid w:val="000756E5"/>
    <w:rsid w:val="00076FFF"/>
    <w:rsid w:val="000D5AC9"/>
    <w:rsid w:val="00111D50"/>
    <w:rsid w:val="001143FE"/>
    <w:rsid w:val="00136C8C"/>
    <w:rsid w:val="00143D0A"/>
    <w:rsid w:val="001444A9"/>
    <w:rsid w:val="00165E02"/>
    <w:rsid w:val="00175EC2"/>
    <w:rsid w:val="001B2386"/>
    <w:rsid w:val="001B4A5B"/>
    <w:rsid w:val="001B6F2F"/>
    <w:rsid w:val="001B7061"/>
    <w:rsid w:val="001D6FA4"/>
    <w:rsid w:val="001E7182"/>
    <w:rsid w:val="00236CC1"/>
    <w:rsid w:val="00237B23"/>
    <w:rsid w:val="00252841"/>
    <w:rsid w:val="0026329E"/>
    <w:rsid w:val="002744B2"/>
    <w:rsid w:val="002909FB"/>
    <w:rsid w:val="002B08BE"/>
    <w:rsid w:val="002D3897"/>
    <w:rsid w:val="002F41A5"/>
    <w:rsid w:val="00305633"/>
    <w:rsid w:val="003202A6"/>
    <w:rsid w:val="003354E6"/>
    <w:rsid w:val="003C42DD"/>
    <w:rsid w:val="003D7783"/>
    <w:rsid w:val="00403477"/>
    <w:rsid w:val="0044535E"/>
    <w:rsid w:val="00497D37"/>
    <w:rsid w:val="004B08C8"/>
    <w:rsid w:val="004B3727"/>
    <w:rsid w:val="004B6897"/>
    <w:rsid w:val="004E3F08"/>
    <w:rsid w:val="004E6BDD"/>
    <w:rsid w:val="00505C91"/>
    <w:rsid w:val="00510AA8"/>
    <w:rsid w:val="00517ECA"/>
    <w:rsid w:val="0052085C"/>
    <w:rsid w:val="005215DC"/>
    <w:rsid w:val="0052237F"/>
    <w:rsid w:val="0052461E"/>
    <w:rsid w:val="00532A40"/>
    <w:rsid w:val="00546A0E"/>
    <w:rsid w:val="00555DF8"/>
    <w:rsid w:val="00566920"/>
    <w:rsid w:val="0058192C"/>
    <w:rsid w:val="005B0C2A"/>
    <w:rsid w:val="005B3745"/>
    <w:rsid w:val="005D7114"/>
    <w:rsid w:val="005E0955"/>
    <w:rsid w:val="005E4E85"/>
    <w:rsid w:val="005E51BF"/>
    <w:rsid w:val="005E713F"/>
    <w:rsid w:val="005F7983"/>
    <w:rsid w:val="0061368F"/>
    <w:rsid w:val="00644F57"/>
    <w:rsid w:val="006745AE"/>
    <w:rsid w:val="00687D59"/>
    <w:rsid w:val="006B42D2"/>
    <w:rsid w:val="006D0982"/>
    <w:rsid w:val="006E0FBB"/>
    <w:rsid w:val="007109FE"/>
    <w:rsid w:val="007B1FEF"/>
    <w:rsid w:val="007F4875"/>
    <w:rsid w:val="0083161B"/>
    <w:rsid w:val="00834A6C"/>
    <w:rsid w:val="00840F71"/>
    <w:rsid w:val="00847271"/>
    <w:rsid w:val="0087693B"/>
    <w:rsid w:val="008A0232"/>
    <w:rsid w:val="008C5A75"/>
    <w:rsid w:val="008E715E"/>
    <w:rsid w:val="0090094A"/>
    <w:rsid w:val="009039F1"/>
    <w:rsid w:val="00923242"/>
    <w:rsid w:val="009672E3"/>
    <w:rsid w:val="009A2FD6"/>
    <w:rsid w:val="009D50E3"/>
    <w:rsid w:val="009E0501"/>
    <w:rsid w:val="00A022B1"/>
    <w:rsid w:val="00A251DB"/>
    <w:rsid w:val="00A2726C"/>
    <w:rsid w:val="00A45BF1"/>
    <w:rsid w:val="00A56C66"/>
    <w:rsid w:val="00A94791"/>
    <w:rsid w:val="00AC382B"/>
    <w:rsid w:val="00B41072"/>
    <w:rsid w:val="00B428B3"/>
    <w:rsid w:val="00B550B0"/>
    <w:rsid w:val="00B576D4"/>
    <w:rsid w:val="00B77FB8"/>
    <w:rsid w:val="00B876FF"/>
    <w:rsid w:val="00B95045"/>
    <w:rsid w:val="00BB1025"/>
    <w:rsid w:val="00BB17A3"/>
    <w:rsid w:val="00BE36C2"/>
    <w:rsid w:val="00C03435"/>
    <w:rsid w:val="00C20373"/>
    <w:rsid w:val="00C26F8C"/>
    <w:rsid w:val="00C44892"/>
    <w:rsid w:val="00C55DE3"/>
    <w:rsid w:val="00C6676E"/>
    <w:rsid w:val="00C73146"/>
    <w:rsid w:val="00C87B72"/>
    <w:rsid w:val="00CE1825"/>
    <w:rsid w:val="00CE3B3D"/>
    <w:rsid w:val="00D0717E"/>
    <w:rsid w:val="00D22273"/>
    <w:rsid w:val="00D42761"/>
    <w:rsid w:val="00D74B24"/>
    <w:rsid w:val="00D75276"/>
    <w:rsid w:val="00D773EF"/>
    <w:rsid w:val="00D807FC"/>
    <w:rsid w:val="00DA7BB5"/>
    <w:rsid w:val="00DC0C7D"/>
    <w:rsid w:val="00DD22C1"/>
    <w:rsid w:val="00DF249A"/>
    <w:rsid w:val="00E027B8"/>
    <w:rsid w:val="00E31DF5"/>
    <w:rsid w:val="00E76543"/>
    <w:rsid w:val="00EE07CA"/>
    <w:rsid w:val="00EE6D98"/>
    <w:rsid w:val="00EE6E9F"/>
    <w:rsid w:val="00F37B09"/>
    <w:rsid w:val="00F46895"/>
    <w:rsid w:val="00F81BE6"/>
    <w:rsid w:val="00F873F1"/>
    <w:rsid w:val="00F936E0"/>
    <w:rsid w:val="00FB0417"/>
    <w:rsid w:val="00FF57A0"/>
    <w:rsid w:val="03847405"/>
    <w:rsid w:val="05526C27"/>
    <w:rsid w:val="0A291D3D"/>
    <w:rsid w:val="14CA66F3"/>
    <w:rsid w:val="1CC40C52"/>
    <w:rsid w:val="1F2805BA"/>
    <w:rsid w:val="20470CD5"/>
    <w:rsid w:val="351D3330"/>
    <w:rsid w:val="389679FA"/>
    <w:rsid w:val="521E563C"/>
    <w:rsid w:val="52D57B33"/>
    <w:rsid w:val="57B4254F"/>
    <w:rsid w:val="676D2CB4"/>
    <w:rsid w:val="6D535020"/>
    <w:rsid w:val="7AC61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D50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11D50"/>
    <w:pPr>
      <w:keepNext/>
      <w:keepLines/>
      <w:spacing w:before="260" w:after="260" w:line="416" w:lineRule="auto"/>
      <w:outlineLvl w:val="1"/>
    </w:pPr>
    <w:rPr>
      <w:rFonts w:ascii="Cambria" w:hAnsi="Cambria"/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11D50"/>
    <w:rPr>
      <w:rFonts w:ascii="Cambria" w:eastAsia="宋体" w:hAnsi="Cambria"/>
      <w:b/>
      <w:kern w:val="2"/>
      <w:sz w:val="32"/>
    </w:rPr>
  </w:style>
  <w:style w:type="paragraph" w:styleId="BalloonText">
    <w:name w:val="Balloon Text"/>
    <w:basedOn w:val="Normal"/>
    <w:link w:val="BalloonTextChar"/>
    <w:uiPriority w:val="99"/>
    <w:semiHidden/>
    <w:rsid w:val="00111D50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D50"/>
    <w:rPr>
      <w:rFonts w:ascii="Times New Roman" w:eastAsia="宋体" w:hAnsi="Times New Roman"/>
      <w:sz w:val="18"/>
    </w:rPr>
  </w:style>
  <w:style w:type="paragraph" w:styleId="Footer">
    <w:name w:val="footer"/>
    <w:basedOn w:val="Normal"/>
    <w:link w:val="FooterChar"/>
    <w:uiPriority w:val="99"/>
    <w:rsid w:val="00111D5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11D50"/>
    <w:rPr>
      <w:rFonts w:ascii="Times New Roman" w:eastAsia="宋体" w:hAnsi="Times New Roman"/>
      <w:sz w:val="18"/>
    </w:rPr>
  </w:style>
  <w:style w:type="paragraph" w:styleId="Header">
    <w:name w:val="header"/>
    <w:basedOn w:val="Normal"/>
    <w:link w:val="HeaderChar"/>
    <w:uiPriority w:val="99"/>
    <w:rsid w:val="00111D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1D50"/>
    <w:rPr>
      <w:rFonts w:ascii="Times New Roman" w:eastAsia="宋体" w:hAnsi="Times New Roman"/>
      <w:sz w:val="18"/>
    </w:rPr>
  </w:style>
  <w:style w:type="character" w:styleId="PageNumber">
    <w:name w:val="page number"/>
    <w:basedOn w:val="DefaultParagraphFont"/>
    <w:uiPriority w:val="99"/>
    <w:rsid w:val="00111D5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238</TotalTime>
  <Pages>4</Pages>
  <Words>285</Words>
  <Characters>1630</Characters>
  <Application>Microsoft Office Outlook</Application>
  <DocSecurity>0</DocSecurity>
  <Lines>0</Lines>
  <Paragraphs>0</Paragraphs>
  <ScaleCrop>false</ScaleCrop>
  <Company>wimxt.com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55</cp:revision>
  <cp:lastPrinted>2021-09-06T08:41:00Z</cp:lastPrinted>
  <dcterms:created xsi:type="dcterms:W3CDTF">2018-08-20T16:17:00Z</dcterms:created>
  <dcterms:modified xsi:type="dcterms:W3CDTF">2023-03-09T01:53:00Z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6AA657E8D80A464FB66E3F32D039AC05</vt:lpwstr>
  </property>
</Properties>
</file>